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1D" w:rsidRDefault="00123356">
      <w:pPr>
        <w:spacing w:line="276" w:lineRule="auto"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  <w:r>
        <w:rPr>
          <w:rFonts w:ascii="Arial" w:eastAsia="宋体" w:hAnsi="Arial" w:cs="Arial"/>
          <w:b/>
          <w:noProof/>
          <w:color w:val="003056"/>
          <w:spacing w:val="-12"/>
          <w:sz w:val="32"/>
          <w:szCs w:val="32"/>
        </w:rPr>
        <w:drawing>
          <wp:inline distT="0" distB="0" distL="0" distR="0">
            <wp:extent cx="1643380" cy="14249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851" cy="143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71D" w:rsidRDefault="00123356">
      <w:pPr>
        <w:spacing w:line="276" w:lineRule="auto"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>Job Description – CNCC C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ourse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 xml:space="preserve"> I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nstructor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 xml:space="preserve"> 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&amp;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 xml:space="preserve"> A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dmin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 xml:space="preserve"> IV (Course: 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Chinese Philosophy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>)</w:t>
      </w:r>
    </w:p>
    <w:p w:rsidR="003E771D" w:rsidRDefault="003E771D">
      <w:pPr>
        <w:widowControl/>
        <w:shd w:val="clear" w:color="auto" w:fill="FFFFFF"/>
        <w:spacing w:after="300" w:line="276" w:lineRule="auto"/>
        <w:textAlignment w:val="baseline"/>
        <w:rPr>
          <w:rFonts w:ascii="Arial" w:eastAsia="宋体" w:hAnsi="Arial" w:cs="Arial"/>
          <w:color w:val="808080" w:themeColor="background1" w:themeShade="80"/>
          <w:sz w:val="24"/>
          <w:szCs w:val="24"/>
        </w:rPr>
      </w:pPr>
    </w:p>
    <w:p w:rsidR="003E771D" w:rsidRDefault="00123356">
      <w:pPr>
        <w:widowControl/>
        <w:shd w:val="clear" w:color="auto" w:fill="FFFFFF"/>
        <w:spacing w:after="300" w:line="276" w:lineRule="auto"/>
        <w:textAlignment w:val="baseline"/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</w:pPr>
      <w:r>
        <w:rPr>
          <w:rFonts w:ascii="Arial" w:eastAsia="宋体" w:hAnsi="Arial" w:cs="Arial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194310</wp:posOffset>
                </wp:positionV>
                <wp:extent cx="5372100" cy="0"/>
                <wp:effectExtent l="0" t="0" r="19050" b="19050"/>
                <wp:wrapNone/>
                <wp:docPr id="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7FD8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5.3pt" to="418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" strokecolor="#4579b8 [3044]"/>
            </w:pict>
          </mc:Fallback>
        </mc:AlternateContent>
      </w:r>
      <w:r>
        <w:rPr>
          <w:rFonts w:ascii="Arial" w:eastAsia="宋体" w:hAnsi="Arial" w:cs="Arial"/>
          <w:color w:val="808080" w:themeColor="background1" w:themeShade="80"/>
          <w:sz w:val="24"/>
          <w:szCs w:val="24"/>
        </w:rPr>
        <w:t>Department:</w:t>
      </w:r>
      <w:r>
        <w:rPr>
          <w:color w:val="808080" w:themeColor="background1" w:themeShade="80"/>
        </w:rPr>
        <w:t xml:space="preserve"> </w:t>
      </w:r>
      <w:r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  <w:t>C</w:t>
      </w:r>
      <w:r>
        <w:rPr>
          <w:rFonts w:ascii="Arial" w:eastAsia="Arial Unicode MS" w:hAnsi="Arial" w:cs="Arial" w:hint="eastAsia"/>
          <w:color w:val="808080" w:themeColor="background1" w:themeShade="80"/>
          <w:kern w:val="0"/>
          <w:sz w:val="24"/>
          <w:szCs w:val="21"/>
        </w:rPr>
        <w:t>hinese</w:t>
      </w:r>
      <w:r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  <w:t xml:space="preserve"> C</w:t>
      </w:r>
      <w:r>
        <w:rPr>
          <w:rFonts w:ascii="Arial" w:eastAsia="Arial Unicode MS" w:hAnsi="Arial" w:cs="Arial" w:hint="eastAsia"/>
          <w:color w:val="808080" w:themeColor="background1" w:themeShade="80"/>
          <w:kern w:val="0"/>
          <w:sz w:val="24"/>
          <w:szCs w:val="21"/>
        </w:rPr>
        <w:t>urricula</w:t>
      </w:r>
      <w:r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  <w:t xml:space="preserve"> C</w:t>
      </w:r>
      <w:r>
        <w:rPr>
          <w:rFonts w:ascii="Arial" w:eastAsia="Arial Unicode MS" w:hAnsi="Arial" w:cs="Arial" w:hint="eastAsia"/>
          <w:color w:val="808080" w:themeColor="background1" w:themeShade="80"/>
          <w:kern w:val="0"/>
          <w:sz w:val="24"/>
          <w:szCs w:val="21"/>
        </w:rPr>
        <w:t>enter</w:t>
      </w:r>
      <w:r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  <w:t xml:space="preserve">     </w:t>
      </w:r>
      <w:r>
        <w:rPr>
          <w:rFonts w:ascii="Arial" w:eastAsia="Arial Unicode MS" w:hAnsi="Arial" w:cs="Arial"/>
          <w:color w:val="808080" w:themeColor="background1" w:themeShade="80"/>
          <w:sz w:val="24"/>
          <w:szCs w:val="21"/>
        </w:rPr>
        <w:t xml:space="preserve">Report to: </w:t>
      </w:r>
      <w:r>
        <w:rPr>
          <w:rFonts w:ascii="Arial" w:eastAsia="Arial Unicode MS" w:hAnsi="Arial" w:cs="Arial"/>
          <w:color w:val="808080" w:themeColor="background1" w:themeShade="80"/>
          <w:kern w:val="0"/>
          <w:sz w:val="24"/>
          <w:szCs w:val="21"/>
        </w:rPr>
        <w:t>Director (CNCC)</w:t>
      </w:r>
    </w:p>
    <w:p w:rsidR="003E771D" w:rsidRDefault="00123356">
      <w:pPr>
        <w:pStyle w:val="aa"/>
        <w:rPr>
          <w:rFonts w:ascii="Arial" w:eastAsia="宋体" w:hAnsi="Arial" w:cs="Arial"/>
          <w:b/>
          <w:color w:val="4D4D4D"/>
          <w:kern w:val="0"/>
          <w:sz w:val="24"/>
          <w:szCs w:val="24"/>
          <w:u w:val="single"/>
        </w:rPr>
      </w:pPr>
      <w:r>
        <w:rPr>
          <w:rFonts w:ascii="Arial" w:eastAsia="宋体" w:hAnsi="Arial" w:cs="Arial" w:hint="eastAsia"/>
          <w:b/>
          <w:color w:val="4D4D4D"/>
          <w:kern w:val="0"/>
          <w:sz w:val="24"/>
          <w:szCs w:val="24"/>
          <w:u w:val="single"/>
        </w:rPr>
        <w:t>Position Summary</w:t>
      </w:r>
    </w:p>
    <w:p w:rsidR="003E771D" w:rsidRDefault="00123356">
      <w:pPr>
        <w:autoSpaceDE w:val="0"/>
        <w:autoSpaceDN w:val="0"/>
        <w:adjustRightInd w:val="0"/>
        <w:ind w:firstLineChars="50" w:firstLine="105"/>
        <w:rPr>
          <w:rFonts w:ascii="Times New Roman" w:eastAsia="黑体" w:hAnsi="Times New Roman" w:cs="Times New Roman"/>
          <w:bCs/>
          <w:color w:val="000000" w:themeColor="text1"/>
          <w:kern w:val="44"/>
          <w:szCs w:val="21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44"/>
          <w:szCs w:val="21"/>
        </w:rPr>
        <w:t xml:space="preserve"> </w:t>
      </w:r>
    </w:p>
    <w:p w:rsidR="003E771D" w:rsidRDefault="001233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Assist in establishing CNCC curriculum, assist in organizing the teaching;</w:t>
      </w:r>
    </w:p>
    <w:p w:rsidR="003E771D" w:rsidRDefault="001233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 xml:space="preserve">Formulate teaching plans, course outlines and instruct on course Chinese Philosophy and responsible for the relative research work; </w:t>
      </w:r>
    </w:p>
    <w:p w:rsidR="003E771D" w:rsidRDefault="001233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Assist in organizing student social practices;</w:t>
      </w:r>
    </w:p>
    <w:p w:rsidR="003E771D" w:rsidRDefault="001233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Provide students with developmental suggestions according to timely evaluati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on;</w:t>
      </w:r>
    </w:p>
    <w:p w:rsidR="003E771D" w:rsidRDefault="0012335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Complete other teaching and</w:t>
      </w:r>
      <w:r>
        <w:t xml:space="preserve"> 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administration work assigned by superiors.</w:t>
      </w:r>
    </w:p>
    <w:p w:rsidR="003E771D" w:rsidRDefault="003E771D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000000"/>
          <w:kern w:val="44"/>
          <w:szCs w:val="21"/>
        </w:rPr>
      </w:pPr>
    </w:p>
    <w:p w:rsidR="003E771D" w:rsidRDefault="00123356">
      <w:pPr>
        <w:widowControl/>
        <w:autoSpaceDE w:val="0"/>
        <w:autoSpaceDN w:val="0"/>
        <w:adjustRightInd w:val="0"/>
        <w:spacing w:after="200" w:line="276" w:lineRule="auto"/>
        <w:jc w:val="left"/>
        <w:rPr>
          <w:rFonts w:ascii="Arial" w:hAnsi="Arial" w:cs="Arial"/>
          <w:b/>
          <w:kern w:val="0"/>
          <w:sz w:val="24"/>
          <w:szCs w:val="24"/>
          <w:u w:val="single"/>
          <w:lang w:bidi="th-TH"/>
        </w:rPr>
      </w:pPr>
      <w:r>
        <w:rPr>
          <w:rFonts w:ascii="Arial" w:hAnsi="Arial" w:cs="Arial"/>
          <w:b/>
          <w:kern w:val="0"/>
          <w:sz w:val="24"/>
          <w:szCs w:val="24"/>
          <w:u w:val="single"/>
          <w:lang w:bidi="th-TH"/>
        </w:rPr>
        <w:t>Qualification</w:t>
      </w:r>
    </w:p>
    <w:p w:rsidR="003E771D" w:rsidRDefault="0012335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Master or above,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 xml:space="preserve"> major in 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 xml:space="preserve">major in 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H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umanities and Social Sciences or Marxist theory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（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 xml:space="preserve">Main research 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d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irection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: Philosophy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）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;</w:t>
      </w:r>
    </w:p>
    <w:p w:rsidR="003E771D" w:rsidRDefault="00123356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 xml:space="preserve">CET 6 or above, certain English writing and 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 xml:space="preserve">speaking </w:t>
      </w:r>
      <w:r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  <w:t>ability</w:t>
      </w: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, strong teaching and research ability</w:t>
      </w:r>
    </w:p>
    <w:p w:rsidR="003E771D" w:rsidRDefault="00123356">
      <w:pPr>
        <w:widowControl/>
        <w:autoSpaceDE w:val="0"/>
        <w:autoSpaceDN w:val="0"/>
        <w:adjustRightInd w:val="0"/>
        <w:spacing w:after="200" w:line="276" w:lineRule="auto"/>
        <w:jc w:val="left"/>
        <w:rPr>
          <w:rFonts w:ascii="Arial" w:hAnsi="Arial" w:cs="Arial"/>
          <w:b/>
          <w:kern w:val="0"/>
          <w:sz w:val="24"/>
          <w:szCs w:val="24"/>
          <w:u w:val="single"/>
          <w:lang w:bidi="th-TH"/>
        </w:rPr>
      </w:pPr>
      <w:r>
        <w:rPr>
          <w:rFonts w:ascii="Arial" w:hAnsi="Arial" w:cs="Arial"/>
          <w:b/>
          <w:kern w:val="0"/>
          <w:sz w:val="24"/>
          <w:szCs w:val="24"/>
          <w:u w:val="single"/>
          <w:lang w:bidi="th-TH"/>
        </w:rPr>
        <w:t xml:space="preserve">Preferred Qualification </w:t>
      </w:r>
    </w:p>
    <w:p w:rsidR="003E771D" w:rsidRDefault="00123356">
      <w:pPr>
        <w:pStyle w:val="a8"/>
        <w:numPr>
          <w:ilvl w:val="0"/>
          <w:numId w:val="2"/>
        </w:numPr>
        <w:ind w:firstLineChars="0"/>
        <w:contextualSpacing/>
        <w:rPr>
          <w:rFonts w:ascii="Arial" w:eastAsia="黑体" w:hAnsi="Arial" w:cs="Arial"/>
          <w:bCs/>
          <w:color w:val="000000" w:themeColor="text1"/>
          <w:kern w:val="44"/>
          <w:sz w:val="24"/>
          <w:szCs w:val="24"/>
        </w:rPr>
      </w:pPr>
      <w:r>
        <w:rPr>
          <w:rFonts w:ascii="Arial" w:eastAsia="黑体" w:hAnsi="Arial" w:cs="Arial" w:hint="eastAsia"/>
          <w:bCs/>
          <w:color w:val="000000" w:themeColor="text1"/>
          <w:kern w:val="44"/>
          <w:sz w:val="24"/>
          <w:szCs w:val="24"/>
        </w:rPr>
        <w:t>With at least three years relative teaching experience in Sino-foreign higher education institutions.</w:t>
      </w: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3E771D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</w:pPr>
    </w:p>
    <w:p w:rsidR="003E771D" w:rsidRDefault="00123356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岗位书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 xml:space="preserve"> </w:t>
      </w:r>
      <w:r>
        <w:rPr>
          <w:rFonts w:ascii="Arial" w:eastAsia="Arial Unicode MS" w:hAnsi="Arial" w:cs="Arial"/>
          <w:b/>
          <w:color w:val="003056"/>
          <w:spacing w:val="-12"/>
          <w:kern w:val="0"/>
          <w:sz w:val="32"/>
          <w:szCs w:val="32"/>
          <w:lang w:bidi="th-TH"/>
        </w:rPr>
        <w:t>–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 xml:space="preserve"> </w:t>
      </w:r>
      <w:bookmarkStart w:id="0" w:name="_GoBack"/>
      <w:bookmarkEnd w:id="0"/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教学与管理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 xml:space="preserve">IV </w:t>
      </w:r>
      <w:r>
        <w:rPr>
          <w:rFonts w:ascii="Arial" w:eastAsia="Arial Unicode MS" w:hAnsi="Arial" w:cs="Arial" w:hint="eastAsia"/>
          <w:b/>
          <w:color w:val="003056"/>
          <w:spacing w:val="-12"/>
          <w:kern w:val="0"/>
          <w:sz w:val="32"/>
          <w:szCs w:val="32"/>
          <w:lang w:bidi="th-TH"/>
        </w:rPr>
        <w:t>《辩与思》</w:t>
      </w:r>
    </w:p>
    <w:p w:rsidR="003E771D" w:rsidRDefault="00123356">
      <w:pPr>
        <w:widowControl/>
        <w:shd w:val="clear" w:color="auto" w:fill="FFFFFF"/>
        <w:spacing w:after="300" w:line="276" w:lineRule="auto"/>
        <w:jc w:val="center"/>
        <w:textAlignment w:val="baseline"/>
        <w:rPr>
          <w:rFonts w:ascii="宋体" w:eastAsia="宋体" w:hAnsi="宋体" w:cs="Times New Roman"/>
          <w:color w:val="000000"/>
          <w:kern w:val="0"/>
          <w:sz w:val="28"/>
          <w:szCs w:val="21"/>
          <w:lang w:bidi="th-TH"/>
        </w:rPr>
      </w:pPr>
      <w:r>
        <w:rPr>
          <w:rFonts w:ascii="宋体" w:eastAsia="宋体" w:hAnsi="宋体" w:cs="Times New Roman" w:hint="eastAsia"/>
          <w:color w:val="000000"/>
          <w:kern w:val="0"/>
          <w:sz w:val="28"/>
          <w:szCs w:val="21"/>
          <w:lang w:bidi="th-TH"/>
        </w:rPr>
        <w:t>部门：国情中心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1"/>
          <w:lang w:bidi="th-TH"/>
        </w:rPr>
        <w:t xml:space="preserve">                         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1"/>
          <w:lang w:bidi="th-TH"/>
        </w:rPr>
        <w:t>汇报：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1"/>
          <w:lang w:bidi="th-TH"/>
        </w:rPr>
        <w:t>部门负责人</w:t>
      </w:r>
    </w:p>
    <w:p w:rsidR="003E771D" w:rsidRDefault="00123356">
      <w:pPr>
        <w:keepNext/>
        <w:keepLines/>
        <w:widowControl/>
        <w:spacing w:before="40" w:after="200" w:line="276" w:lineRule="auto"/>
        <w:jc w:val="left"/>
        <w:rPr>
          <w:rFonts w:ascii="宋体" w:eastAsia="宋体" w:hAnsi="宋体" w:cs="Times New Roman"/>
          <w:b/>
          <w:bCs/>
          <w:iCs/>
          <w:color w:val="000000"/>
          <w:kern w:val="0"/>
          <w:sz w:val="24"/>
          <w:szCs w:val="21"/>
          <w:lang w:bidi="th-TH"/>
        </w:rPr>
      </w:pPr>
      <w:r>
        <w:rPr>
          <w:rFonts w:ascii="宋体" w:eastAsia="宋体" w:hAnsi="宋体" w:cs="Times New Roman"/>
          <w:b/>
          <w:bCs/>
          <w:iCs/>
          <w:color w:val="000000"/>
          <w:kern w:val="0"/>
          <w:sz w:val="24"/>
          <w:szCs w:val="21"/>
          <w:lang w:bidi="th-TH"/>
        </w:rPr>
        <w:t>岗位职责：</w:t>
      </w:r>
    </w:p>
    <w:p w:rsidR="003E771D" w:rsidRDefault="00123356">
      <w:pPr>
        <w:pStyle w:val="a8"/>
        <w:numPr>
          <w:ilvl w:val="0"/>
          <w:numId w:val="3"/>
        </w:numPr>
        <w:spacing w:line="276" w:lineRule="auto"/>
        <w:ind w:firstLineChars="0"/>
        <w:contextualSpacing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协助建设国情与文化教育体系，协助国情与文化教学组织；</w:t>
      </w:r>
    </w:p>
    <w:p w:rsidR="003E771D" w:rsidRDefault="00123356">
      <w:pPr>
        <w:pStyle w:val="a8"/>
        <w:widowControl/>
        <w:numPr>
          <w:ilvl w:val="0"/>
          <w:numId w:val="3"/>
        </w:numPr>
        <w:spacing w:line="276" w:lineRule="auto"/>
        <w:ind w:firstLineChars="0"/>
        <w:contextualSpacing/>
        <w:jc w:val="left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制定《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辩与思</w:t>
      </w: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》教学大纲，承担课程教学及相关科研；</w:t>
      </w:r>
    </w:p>
    <w:p w:rsidR="003E771D" w:rsidRDefault="00123356">
      <w:pPr>
        <w:pStyle w:val="a8"/>
        <w:widowControl/>
        <w:numPr>
          <w:ilvl w:val="0"/>
          <w:numId w:val="3"/>
        </w:numPr>
        <w:spacing w:line="276" w:lineRule="auto"/>
        <w:ind w:firstLineChars="0"/>
        <w:contextualSpacing/>
        <w:jc w:val="left"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协助组织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学生社会实践</w:t>
      </w: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；</w:t>
      </w:r>
    </w:p>
    <w:p w:rsidR="003E771D" w:rsidRDefault="00123356">
      <w:pPr>
        <w:pStyle w:val="a8"/>
        <w:numPr>
          <w:ilvl w:val="0"/>
          <w:numId w:val="3"/>
        </w:numPr>
        <w:ind w:firstLineChars="0"/>
        <w:contextualSpacing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对学生进行定期考核和评估，并给出一定发展建议；</w:t>
      </w:r>
    </w:p>
    <w:p w:rsidR="003E771D" w:rsidRDefault="00123356">
      <w:pPr>
        <w:pStyle w:val="a8"/>
        <w:numPr>
          <w:ilvl w:val="0"/>
          <w:numId w:val="3"/>
        </w:numPr>
        <w:ind w:firstLineChars="0"/>
        <w:contextualSpacing/>
        <w:rPr>
          <w:rFonts w:ascii="宋体" w:eastAsia="宋体" w:hAnsi="宋体" w:cs="Times New Roman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bCs/>
          <w:color w:val="000000" w:themeColor="text1"/>
          <w:sz w:val="24"/>
          <w:szCs w:val="24"/>
        </w:rPr>
        <w:t>完成交办的其他相关教学及行政工作。</w:t>
      </w:r>
    </w:p>
    <w:p w:rsidR="003E771D" w:rsidRDefault="003E771D">
      <w:pPr>
        <w:keepNext/>
        <w:keepLines/>
        <w:widowControl/>
        <w:spacing w:before="4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</w:p>
    <w:p w:rsidR="003E771D" w:rsidRDefault="00123356">
      <w:pPr>
        <w:keepNext/>
        <w:keepLines/>
        <w:widowControl/>
        <w:spacing w:before="40" w:after="200" w:line="276" w:lineRule="auto"/>
        <w:jc w:val="left"/>
        <w:rPr>
          <w:rFonts w:ascii="宋体" w:eastAsia="宋体" w:hAnsi="宋体" w:cs="Times New Roman"/>
          <w:b/>
          <w:bCs/>
          <w:iCs/>
          <w:color w:val="000000"/>
          <w:kern w:val="0"/>
          <w:sz w:val="22"/>
          <w:szCs w:val="21"/>
          <w:lang w:bidi="th-TH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kern w:val="0"/>
          <w:sz w:val="22"/>
          <w:szCs w:val="21"/>
          <w:lang w:bidi="th-TH"/>
        </w:rPr>
        <w:t>聘任条件：</w:t>
      </w:r>
    </w:p>
    <w:p w:rsidR="003E771D" w:rsidRDefault="00123356">
      <w:pPr>
        <w:keepNext/>
        <w:keepLines/>
        <w:widowControl/>
        <w:spacing w:before="40" w:after="200" w:line="276" w:lineRule="auto"/>
        <w:jc w:val="left"/>
        <w:rPr>
          <w:rFonts w:ascii="宋体" w:eastAsia="宋体" w:hAnsi="宋体" w:cs="Times New Roman"/>
          <w:color w:val="000000"/>
          <w:kern w:val="0"/>
          <w:sz w:val="22"/>
          <w:szCs w:val="21"/>
          <w:lang w:bidi="th-TH"/>
        </w:rPr>
      </w:pPr>
      <w:r>
        <w:rPr>
          <w:rFonts w:ascii="宋体" w:eastAsia="宋体" w:hAnsi="宋体" w:cs="Times New Roman"/>
          <w:color w:val="000000"/>
          <w:kern w:val="0"/>
          <w:sz w:val="22"/>
          <w:szCs w:val="21"/>
          <w:lang w:bidi="th-TH"/>
        </w:rPr>
        <w:t>必备条件</w:t>
      </w:r>
    </w:p>
    <w:p w:rsidR="003E771D" w:rsidRDefault="00123356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硕士及以上学位，人文社会科学类专业（哲学相关方向）、马克思主义理论一级学科相关专业（哲学相关方向）；</w:t>
      </w:r>
    </w:p>
    <w:p w:rsidR="003E771D" w:rsidRDefault="00123356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大学英语六级以上，一定英文书面及口头表达能力，较强教学及科研能力。</w:t>
      </w:r>
    </w:p>
    <w:p w:rsidR="003E771D" w:rsidRDefault="003E771D">
      <w:pPr>
        <w:widowControl/>
        <w:spacing w:after="200" w:line="276" w:lineRule="auto"/>
        <w:ind w:left="72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3E771D" w:rsidRDefault="00123356">
      <w:pPr>
        <w:keepNext/>
        <w:keepLines/>
        <w:spacing w:before="4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</w:rPr>
        <w:t>优先条件</w:t>
      </w:r>
    </w:p>
    <w:p w:rsidR="003E771D" w:rsidRDefault="00123356">
      <w:pPr>
        <w:pStyle w:val="a8"/>
        <w:numPr>
          <w:ilvl w:val="0"/>
          <w:numId w:val="4"/>
        </w:numPr>
        <w:spacing w:line="276" w:lineRule="auto"/>
        <w:ind w:firstLineChars="0"/>
        <w:contextualSpacing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具备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年以上中外合作高校思政课教学经历。</w:t>
      </w:r>
    </w:p>
    <w:p w:rsidR="003E771D" w:rsidRDefault="003E771D">
      <w:pPr>
        <w:rPr>
          <w:rFonts w:ascii="Arial" w:hAnsi="Arial" w:cs="Arial"/>
          <w:color w:val="FF0000"/>
          <w:szCs w:val="21"/>
        </w:rPr>
      </w:pPr>
    </w:p>
    <w:sectPr w:rsidR="003E771D">
      <w:footerReference w:type="default" r:id="rId10"/>
      <w:pgSz w:w="11906" w:h="16838"/>
      <w:pgMar w:top="720" w:right="1418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56" w:rsidRDefault="00123356">
      <w:r>
        <w:separator/>
      </w:r>
    </w:p>
  </w:endnote>
  <w:endnote w:type="continuationSeparator" w:id="0">
    <w:p w:rsidR="00123356" w:rsidRDefault="0012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443580"/>
      <w:docPartObj>
        <w:docPartGallery w:val="AutoText"/>
      </w:docPartObj>
    </w:sdtPr>
    <w:sdtEndPr/>
    <w:sdtContent>
      <w:sdt>
        <w:sdtPr>
          <w:id w:val="860082579"/>
          <w:docPartObj>
            <w:docPartGallery w:val="AutoText"/>
          </w:docPartObj>
        </w:sdtPr>
        <w:sdtEndPr/>
        <w:sdtContent>
          <w:p w:rsidR="003E771D" w:rsidRDefault="00123356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D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D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56" w:rsidRDefault="00123356">
      <w:r>
        <w:separator/>
      </w:r>
    </w:p>
  </w:footnote>
  <w:footnote w:type="continuationSeparator" w:id="0">
    <w:p w:rsidR="00123356" w:rsidRDefault="0012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7F69"/>
    <w:multiLevelType w:val="multilevel"/>
    <w:tmpl w:val="13BD7F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235B"/>
    <w:multiLevelType w:val="multilevel"/>
    <w:tmpl w:val="45E223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3353"/>
    <w:multiLevelType w:val="multilevel"/>
    <w:tmpl w:val="4A2233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77EA"/>
    <w:multiLevelType w:val="multilevel"/>
    <w:tmpl w:val="5CCD7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2D"/>
    <w:rsid w:val="0001436C"/>
    <w:rsid w:val="000478AF"/>
    <w:rsid w:val="00066207"/>
    <w:rsid w:val="000C1B91"/>
    <w:rsid w:val="000C613E"/>
    <w:rsid w:val="000C7A2D"/>
    <w:rsid w:val="00123356"/>
    <w:rsid w:val="00143EE5"/>
    <w:rsid w:val="00147ED5"/>
    <w:rsid w:val="001710D7"/>
    <w:rsid w:val="001903BB"/>
    <w:rsid w:val="0019203C"/>
    <w:rsid w:val="001B05C4"/>
    <w:rsid w:val="00224367"/>
    <w:rsid w:val="00235286"/>
    <w:rsid w:val="00256DD4"/>
    <w:rsid w:val="00280B8E"/>
    <w:rsid w:val="002C5C6C"/>
    <w:rsid w:val="002C7FAE"/>
    <w:rsid w:val="003437FD"/>
    <w:rsid w:val="00353CEF"/>
    <w:rsid w:val="0037422B"/>
    <w:rsid w:val="003B5A40"/>
    <w:rsid w:val="003C4ACA"/>
    <w:rsid w:val="003D7651"/>
    <w:rsid w:val="003E771D"/>
    <w:rsid w:val="003F0BC5"/>
    <w:rsid w:val="00445FC9"/>
    <w:rsid w:val="00475D8F"/>
    <w:rsid w:val="004B1937"/>
    <w:rsid w:val="00526985"/>
    <w:rsid w:val="00534453"/>
    <w:rsid w:val="005628D9"/>
    <w:rsid w:val="005775A9"/>
    <w:rsid w:val="0059667E"/>
    <w:rsid w:val="005A1D40"/>
    <w:rsid w:val="005A4FE4"/>
    <w:rsid w:val="005D56F7"/>
    <w:rsid w:val="005D617E"/>
    <w:rsid w:val="005E2795"/>
    <w:rsid w:val="00604332"/>
    <w:rsid w:val="00636346"/>
    <w:rsid w:val="00671666"/>
    <w:rsid w:val="00673D0A"/>
    <w:rsid w:val="006875B7"/>
    <w:rsid w:val="006A4EA9"/>
    <w:rsid w:val="006A7818"/>
    <w:rsid w:val="006E6739"/>
    <w:rsid w:val="00702533"/>
    <w:rsid w:val="00705C65"/>
    <w:rsid w:val="00727224"/>
    <w:rsid w:val="00730124"/>
    <w:rsid w:val="00795888"/>
    <w:rsid w:val="00797C2C"/>
    <w:rsid w:val="007A6B38"/>
    <w:rsid w:val="007D3927"/>
    <w:rsid w:val="007F20F7"/>
    <w:rsid w:val="007F64D6"/>
    <w:rsid w:val="0080683F"/>
    <w:rsid w:val="0080698B"/>
    <w:rsid w:val="00835CFC"/>
    <w:rsid w:val="00854DDA"/>
    <w:rsid w:val="00865385"/>
    <w:rsid w:val="00880B2B"/>
    <w:rsid w:val="00897764"/>
    <w:rsid w:val="008E18DA"/>
    <w:rsid w:val="00912F16"/>
    <w:rsid w:val="00952A73"/>
    <w:rsid w:val="00971EDF"/>
    <w:rsid w:val="00A85F63"/>
    <w:rsid w:val="00A9151E"/>
    <w:rsid w:val="00AA55F1"/>
    <w:rsid w:val="00AB51DE"/>
    <w:rsid w:val="00AE473F"/>
    <w:rsid w:val="00B30A1F"/>
    <w:rsid w:val="00B5076F"/>
    <w:rsid w:val="00B53090"/>
    <w:rsid w:val="00BD38B6"/>
    <w:rsid w:val="00BD4029"/>
    <w:rsid w:val="00C03576"/>
    <w:rsid w:val="00C35119"/>
    <w:rsid w:val="00C42CEE"/>
    <w:rsid w:val="00C52BCF"/>
    <w:rsid w:val="00C85AD5"/>
    <w:rsid w:val="00C877DE"/>
    <w:rsid w:val="00CA1827"/>
    <w:rsid w:val="00CB3B59"/>
    <w:rsid w:val="00CD3E46"/>
    <w:rsid w:val="00CD4F38"/>
    <w:rsid w:val="00CE0751"/>
    <w:rsid w:val="00D14216"/>
    <w:rsid w:val="00D23364"/>
    <w:rsid w:val="00D40E19"/>
    <w:rsid w:val="00D50BCA"/>
    <w:rsid w:val="00D943B2"/>
    <w:rsid w:val="00DD39A8"/>
    <w:rsid w:val="00DD57CC"/>
    <w:rsid w:val="00DE2BC3"/>
    <w:rsid w:val="00DF178A"/>
    <w:rsid w:val="00E07091"/>
    <w:rsid w:val="00E20487"/>
    <w:rsid w:val="00E566B8"/>
    <w:rsid w:val="00EC7B25"/>
    <w:rsid w:val="00EE74C5"/>
    <w:rsid w:val="00EF764D"/>
    <w:rsid w:val="00F065BF"/>
    <w:rsid w:val="00F1290B"/>
    <w:rsid w:val="00F84826"/>
    <w:rsid w:val="00F96F04"/>
    <w:rsid w:val="00FB18AB"/>
    <w:rsid w:val="00FC7F86"/>
    <w:rsid w:val="00FE1CD7"/>
    <w:rsid w:val="19A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12F27D-5AE3-4B11-9DD2-2C29D439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69A8F-A4FB-48CB-A3AF-65F1B8B2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wku</cp:lastModifiedBy>
  <cp:revision>18</cp:revision>
  <cp:lastPrinted>2017-03-15T01:16:00Z</cp:lastPrinted>
  <dcterms:created xsi:type="dcterms:W3CDTF">2017-09-25T03:09:00Z</dcterms:created>
  <dcterms:modified xsi:type="dcterms:W3CDTF">2017-12-21T08:31:00Z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