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cs="宋体"/>
          <w:b/>
          <w:color w:val="auto"/>
          <w:sz w:val="32"/>
          <w:highlight w:val="none"/>
        </w:rPr>
      </w:pPr>
      <w:r>
        <w:rPr>
          <w:rFonts w:hint="eastAsia" w:ascii="宋体" w:hAnsi="宋体" w:cs="宋体"/>
          <w:b/>
          <w:color w:val="auto"/>
          <w:sz w:val="32"/>
          <w:highlight w:val="none"/>
        </w:rPr>
        <w:t>采购需求</w:t>
      </w:r>
    </w:p>
    <w:p>
      <w:pPr>
        <w:pStyle w:val="2"/>
        <w:snapToGrid w:val="0"/>
        <w:spacing w:line="360" w:lineRule="exact"/>
        <w:rPr>
          <w:rFonts w:hint="eastAsia" w:hAnsi="宋体" w:cs="宋体"/>
          <w:b/>
          <w:bCs/>
          <w:color w:val="auto"/>
          <w:sz w:val="22"/>
          <w:highlight w:val="none"/>
        </w:rPr>
      </w:pPr>
      <w:r>
        <w:rPr>
          <w:rFonts w:hint="eastAsia" w:hAnsi="宋体" w:cs="宋体"/>
          <w:b/>
          <w:bCs/>
          <w:color w:val="auto"/>
          <w:sz w:val="22"/>
          <w:highlight w:val="none"/>
        </w:rPr>
        <w:t>一.采购清单</w:t>
      </w:r>
    </w:p>
    <w:tbl>
      <w:tblPr>
        <w:tblStyle w:val="10"/>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844"/>
        <w:gridCol w:w="1168"/>
        <w:gridCol w:w="186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3844" w:type="dxa"/>
            <w:noWrap w:val="0"/>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sz w:val="22"/>
                <w:highlight w:val="none"/>
              </w:rPr>
              <w:t>项目内容</w:t>
            </w:r>
          </w:p>
        </w:tc>
        <w:tc>
          <w:tcPr>
            <w:tcW w:w="1168" w:type="dxa"/>
            <w:noWrap w:val="0"/>
            <w:vAlign w:val="center"/>
          </w:tcPr>
          <w:p>
            <w:pPr>
              <w:spacing w:line="370" w:lineRule="exact"/>
              <w:jc w:val="center"/>
              <w:rPr>
                <w:rFonts w:hint="eastAsia" w:ascii="宋体" w:hAnsi="宋体" w:cs="宋体"/>
                <w:color w:val="auto"/>
                <w:kern w:val="0"/>
                <w:sz w:val="22"/>
                <w:highlight w:val="none"/>
                <w:lang w:val="zh-CN"/>
              </w:rPr>
            </w:pPr>
            <w:r>
              <w:rPr>
                <w:rFonts w:hint="eastAsia" w:ascii="宋体" w:hAnsi="宋体" w:cs="宋体"/>
                <w:color w:val="auto"/>
                <w:sz w:val="22"/>
                <w:highlight w:val="none"/>
              </w:rPr>
              <w:t>数量</w:t>
            </w:r>
          </w:p>
        </w:tc>
        <w:tc>
          <w:tcPr>
            <w:tcW w:w="1863" w:type="dxa"/>
            <w:noWrap w:val="0"/>
            <w:vAlign w:val="center"/>
          </w:tcPr>
          <w:p>
            <w:pPr>
              <w:spacing w:line="370" w:lineRule="exact"/>
              <w:jc w:val="center"/>
              <w:rPr>
                <w:rFonts w:hint="eastAsia" w:ascii="宋体" w:hAnsi="宋体" w:cs="宋体"/>
                <w:color w:val="auto"/>
                <w:kern w:val="0"/>
                <w:sz w:val="22"/>
                <w:highlight w:val="none"/>
                <w:lang w:val="zh-CN"/>
              </w:rPr>
            </w:pPr>
            <w:r>
              <w:rPr>
                <w:rFonts w:hint="eastAsia" w:ascii="宋体" w:hAnsi="宋体" w:cs="宋体"/>
                <w:color w:val="auto"/>
                <w:sz w:val="22"/>
                <w:highlight w:val="none"/>
              </w:rPr>
              <w:t>预算金额（元）</w:t>
            </w:r>
          </w:p>
        </w:tc>
        <w:tc>
          <w:tcPr>
            <w:tcW w:w="1232" w:type="dxa"/>
            <w:noWrap w:val="0"/>
            <w:vAlign w:val="center"/>
          </w:tcPr>
          <w:p>
            <w:pPr>
              <w:spacing w:line="370" w:lineRule="exact"/>
              <w:jc w:val="center"/>
              <w:rPr>
                <w:rFonts w:hint="eastAsia" w:ascii="宋体" w:hAnsi="宋体" w:cs="宋体"/>
                <w:color w:val="auto"/>
                <w:sz w:val="22"/>
                <w:highlight w:val="none"/>
                <w:u w:val="none" w:color="000000"/>
                <w:lang w:val="zh-CN"/>
              </w:rPr>
            </w:pPr>
            <w:r>
              <w:rPr>
                <w:rFonts w:hint="eastAsia" w:ascii="宋体" w:hAnsi="宋体" w:cs="宋体"/>
                <w:color w:val="auto"/>
                <w:sz w:val="22"/>
                <w:highlight w:val="none"/>
                <w:u w:val="none" w:color="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3844" w:type="dxa"/>
            <w:noWrap w:val="0"/>
            <w:vAlign w:val="center"/>
          </w:tcPr>
          <w:p>
            <w:pPr>
              <w:pStyle w:val="13"/>
              <w:widowControl w:val="0"/>
              <w:snapToGrid w:val="0"/>
              <w:spacing w:line="360" w:lineRule="exact"/>
              <w:ind w:firstLine="0"/>
              <w:jc w:val="center"/>
              <w:rPr>
                <w:rFonts w:hint="eastAsia" w:ascii="宋体" w:hAnsi="宋体" w:eastAsia="宋体" w:cs="宋体"/>
                <w:b w:val="0"/>
                <w:color w:val="auto"/>
                <w:sz w:val="22"/>
                <w:highlight w:val="none"/>
                <w:lang w:eastAsia="zh-CN"/>
              </w:rPr>
            </w:pPr>
            <w:r>
              <w:rPr>
                <w:rFonts w:hint="eastAsia" w:ascii="宋体" w:hAnsi="宋体" w:cs="宋体"/>
                <w:b w:val="0"/>
                <w:color w:val="auto"/>
                <w:sz w:val="22"/>
                <w:highlight w:val="none"/>
                <w:lang w:eastAsia="zh-CN"/>
              </w:rPr>
              <w:t>温州肯恩大学2024年度疗休养服务</w:t>
            </w:r>
          </w:p>
        </w:tc>
        <w:tc>
          <w:tcPr>
            <w:tcW w:w="1168" w:type="dxa"/>
            <w:noWrap w:val="0"/>
            <w:vAlign w:val="center"/>
          </w:tcPr>
          <w:p>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rPr>
              <w:t>1</w:t>
            </w:r>
            <w:r>
              <w:rPr>
                <w:rFonts w:hint="eastAsia" w:ascii="宋体" w:hAnsi="宋体" w:cs="宋体"/>
                <w:color w:val="auto"/>
                <w:sz w:val="22"/>
                <w:highlight w:val="none"/>
                <w:lang w:eastAsia="zh-CN"/>
              </w:rPr>
              <w:t>批</w:t>
            </w:r>
          </w:p>
        </w:tc>
        <w:tc>
          <w:tcPr>
            <w:tcW w:w="1863" w:type="dxa"/>
            <w:noWrap w:val="0"/>
            <w:vAlign w:val="center"/>
          </w:tcPr>
          <w:p>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1326000.00</w:t>
            </w:r>
          </w:p>
        </w:tc>
        <w:tc>
          <w:tcPr>
            <w:tcW w:w="1232" w:type="dxa"/>
            <w:noWrap w:val="0"/>
            <w:vAlign w:val="center"/>
          </w:tcPr>
          <w:p>
            <w:pPr>
              <w:widowControl/>
              <w:jc w:val="center"/>
              <w:textAlignment w:val="center"/>
              <w:rPr>
                <w:rFonts w:hint="eastAsia" w:ascii="宋体" w:hAnsi="宋体" w:cs="宋体"/>
                <w:color w:val="auto"/>
                <w:sz w:val="22"/>
                <w:highlight w:val="none"/>
                <w:u w:val="none" w:color="000000"/>
              </w:rPr>
            </w:pPr>
          </w:p>
        </w:tc>
      </w:tr>
    </w:tbl>
    <w:p>
      <w:p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z w:val="22"/>
          <w:highlight w:val="none"/>
        </w:rPr>
        <w:t>二.</w:t>
      </w:r>
      <w:r>
        <w:rPr>
          <w:rFonts w:hint="eastAsia" w:ascii="宋体" w:hAnsi="宋体" w:cs="宋体"/>
          <w:b/>
          <w:bCs/>
          <w:color w:val="auto"/>
          <w:spacing w:val="-6"/>
          <w:sz w:val="22"/>
          <w:highlight w:val="none"/>
        </w:rPr>
        <w:t>商务要求（技术要求里另有注明的以技术要求为准）</w:t>
      </w:r>
    </w:p>
    <w:tbl>
      <w:tblPr>
        <w:tblStyle w:val="10"/>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7696" w:type="dxa"/>
            <w:tcBorders>
              <w:tl2br w:val="nil"/>
              <w:tr2bl w:val="nil"/>
            </w:tcBorders>
            <w:noWrap w:val="0"/>
            <w:vAlign w:val="center"/>
          </w:tcPr>
          <w:p>
            <w:pPr>
              <w:pStyle w:val="3"/>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eastAsia="zh-CN"/>
              </w:rPr>
              <w:t>中标人</w:t>
            </w:r>
            <w:r>
              <w:rPr>
                <w:rFonts w:hint="eastAsia" w:ascii="宋体" w:hAnsi="宋体" w:cs="宋体"/>
                <w:color w:val="auto"/>
                <w:sz w:val="22"/>
                <w:szCs w:val="22"/>
                <w:highlight w:val="none"/>
                <w:u w:val="single"/>
              </w:rPr>
              <w:t>在合同生效、具备实施条件后，向</w:t>
            </w:r>
            <w:r>
              <w:rPr>
                <w:rFonts w:hint="eastAsia" w:ascii="宋体" w:hAnsi="宋体" w:cs="宋体"/>
                <w:color w:val="auto"/>
                <w:sz w:val="22"/>
                <w:szCs w:val="22"/>
                <w:highlight w:val="none"/>
                <w:u w:val="single"/>
                <w:lang w:eastAsia="zh-CN"/>
              </w:rPr>
              <w:t>采购人</w:t>
            </w:r>
            <w:r>
              <w:rPr>
                <w:rFonts w:hint="eastAsia" w:ascii="宋体" w:hAnsi="宋体" w:cs="宋体"/>
                <w:color w:val="auto"/>
                <w:sz w:val="22"/>
                <w:szCs w:val="22"/>
                <w:highlight w:val="none"/>
                <w:u w:val="single"/>
              </w:rPr>
              <w:t>提交</w:t>
            </w:r>
            <w:r>
              <w:rPr>
                <w:rFonts w:hint="eastAsia" w:ascii="宋体" w:hAnsi="宋体" w:cs="宋体"/>
                <w:color w:val="auto"/>
                <w:sz w:val="22"/>
                <w:szCs w:val="22"/>
                <w:highlight w:val="none"/>
                <w:u w:val="single"/>
                <w:lang w:eastAsia="zh-CN"/>
              </w:rPr>
              <w:t>预算</w:t>
            </w:r>
            <w:r>
              <w:rPr>
                <w:rFonts w:hint="eastAsia" w:ascii="宋体" w:hAnsi="宋体" w:cs="宋体"/>
                <w:color w:val="auto"/>
                <w:sz w:val="22"/>
                <w:szCs w:val="22"/>
                <w:highlight w:val="none"/>
                <w:u w:val="single"/>
              </w:rPr>
              <w:t>金额 40%的预付款保函及收据，</w:t>
            </w:r>
            <w:r>
              <w:rPr>
                <w:rFonts w:hint="eastAsia" w:ascii="宋体" w:hAnsi="宋体" w:cs="宋体"/>
                <w:color w:val="auto"/>
                <w:sz w:val="22"/>
                <w:szCs w:val="22"/>
                <w:highlight w:val="none"/>
                <w:u w:val="single"/>
                <w:lang w:eastAsia="zh-CN"/>
              </w:rPr>
              <w:t>采购人</w:t>
            </w:r>
            <w:r>
              <w:rPr>
                <w:rFonts w:hint="eastAsia" w:ascii="宋体" w:hAnsi="宋体" w:cs="宋体"/>
                <w:color w:val="auto"/>
                <w:sz w:val="22"/>
                <w:highlight w:val="none"/>
                <w:u w:val="single"/>
              </w:rPr>
              <w:t>7个工作日内</w:t>
            </w:r>
            <w:r>
              <w:rPr>
                <w:rFonts w:hint="eastAsia" w:ascii="宋体" w:hAnsi="宋体" w:cs="宋体"/>
                <w:color w:val="auto"/>
                <w:sz w:val="22"/>
                <w:szCs w:val="22"/>
                <w:highlight w:val="none"/>
                <w:u w:val="single"/>
              </w:rPr>
              <w:t>支付预付款；服务期结束后，</w:t>
            </w:r>
            <w:r>
              <w:rPr>
                <w:rFonts w:hint="eastAsia" w:ascii="宋体" w:hAnsi="宋体" w:cs="宋体"/>
                <w:color w:val="auto"/>
                <w:sz w:val="22"/>
                <w:szCs w:val="22"/>
                <w:highlight w:val="none"/>
                <w:u w:val="single"/>
                <w:lang w:val="en-US" w:eastAsia="zh-CN"/>
              </w:rPr>
              <w:t>中标人</w:t>
            </w:r>
            <w:r>
              <w:rPr>
                <w:rFonts w:hint="eastAsia" w:ascii="宋体" w:hAnsi="宋体" w:cs="宋体"/>
                <w:color w:val="auto"/>
                <w:sz w:val="22"/>
                <w:szCs w:val="22"/>
                <w:highlight w:val="none"/>
                <w:u w:val="single"/>
              </w:rPr>
              <w:t>完成服务并通过</w:t>
            </w:r>
            <w:r>
              <w:rPr>
                <w:rFonts w:hint="eastAsia" w:ascii="宋体" w:hAnsi="宋体" w:cs="宋体"/>
                <w:color w:val="auto"/>
                <w:sz w:val="22"/>
                <w:szCs w:val="22"/>
                <w:highlight w:val="none"/>
                <w:u w:val="single"/>
                <w:lang w:eastAsia="zh-CN"/>
              </w:rPr>
              <w:t>采购人</w:t>
            </w:r>
            <w:r>
              <w:rPr>
                <w:rFonts w:hint="eastAsia" w:ascii="宋体" w:hAnsi="宋体" w:cs="宋体"/>
                <w:color w:val="auto"/>
                <w:sz w:val="22"/>
                <w:szCs w:val="22"/>
                <w:highlight w:val="none"/>
                <w:u w:val="single"/>
              </w:rPr>
              <w:t>验收，</w:t>
            </w:r>
            <w:r>
              <w:rPr>
                <w:rFonts w:hint="eastAsia" w:ascii="宋体" w:hAnsi="宋体" w:cs="宋体"/>
                <w:color w:val="auto"/>
                <w:sz w:val="22"/>
                <w:szCs w:val="22"/>
                <w:highlight w:val="none"/>
                <w:u w:val="single"/>
                <w:lang w:eastAsia="zh-CN"/>
              </w:rPr>
              <w:t>采购人</w:t>
            </w:r>
            <w:r>
              <w:rPr>
                <w:rFonts w:hint="eastAsia" w:ascii="宋体" w:hAnsi="宋体" w:cs="宋体"/>
                <w:color w:val="auto"/>
                <w:sz w:val="22"/>
                <w:szCs w:val="22"/>
                <w:highlight w:val="none"/>
                <w:u w:val="single"/>
              </w:rPr>
              <w:t>收到全额发票后，支付尾款（预付款优先扣除，多退少补)。</w:t>
            </w:r>
          </w:p>
          <w:p>
            <w:pPr>
              <w:pStyle w:val="3"/>
              <w:spacing w:line="36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注：1.在签订合同时，</w:t>
            </w:r>
            <w:r>
              <w:rPr>
                <w:rFonts w:hint="eastAsia" w:ascii="宋体" w:hAnsi="宋体" w:cs="宋体"/>
                <w:color w:val="auto"/>
                <w:sz w:val="22"/>
                <w:szCs w:val="22"/>
                <w:highlight w:val="none"/>
                <w:u w:val="single"/>
                <w:lang w:val="en-US" w:eastAsia="zh-CN"/>
              </w:rPr>
              <w:t>中标人</w:t>
            </w:r>
            <w:r>
              <w:rPr>
                <w:rFonts w:hint="eastAsia" w:ascii="宋体" w:hAnsi="宋体" w:cs="宋体"/>
                <w:color w:val="auto"/>
                <w:sz w:val="22"/>
                <w:szCs w:val="22"/>
                <w:highlight w:val="none"/>
                <w:u w:val="single"/>
              </w:rPr>
              <w:t>明确表示无需预付款或者主动要求降低预付款比例的，按实际比例计。</w:t>
            </w:r>
          </w:p>
          <w:p>
            <w:pPr>
              <w:pStyle w:val="3"/>
              <w:spacing w:line="360" w:lineRule="exact"/>
              <w:rPr>
                <w:rFonts w:ascii="宋体" w:hAnsi="宋体" w:cs="宋体"/>
                <w:color w:val="auto"/>
                <w:sz w:val="22"/>
                <w:highlight w:val="none"/>
                <w:u w:val="single"/>
              </w:rPr>
            </w:pPr>
            <w:r>
              <w:rPr>
                <w:rFonts w:hint="eastAsia" w:ascii="宋体" w:hAnsi="宋体" w:cs="宋体"/>
                <w:color w:val="auto"/>
                <w:sz w:val="22"/>
                <w:szCs w:val="22"/>
                <w:highlight w:val="none"/>
                <w:u w:val="single"/>
              </w:rPr>
              <w:t>2.本项目最终按实际出团人数（实际出团人数*固定单价3000元，超出固定价格3000元/人部分费用由参加疗休养人员承担，</w:t>
            </w:r>
            <w:r>
              <w:rPr>
                <w:rFonts w:hint="eastAsia" w:ascii="宋体" w:hAnsi="宋体" w:cs="宋体"/>
                <w:color w:val="auto"/>
                <w:sz w:val="22"/>
                <w:szCs w:val="22"/>
                <w:highlight w:val="none"/>
                <w:u w:val="single"/>
                <w:lang w:eastAsia="zh-CN"/>
              </w:rPr>
              <w:t>中标人</w:t>
            </w:r>
            <w:r>
              <w:rPr>
                <w:rFonts w:hint="eastAsia" w:ascii="宋体" w:hAnsi="宋体" w:cs="宋体"/>
                <w:color w:val="auto"/>
                <w:sz w:val="22"/>
                <w:szCs w:val="22"/>
                <w:highlight w:val="none"/>
                <w:u w:val="single"/>
              </w:rPr>
              <w:t>自行向参加疗休养人员收取。）和满意率按实结算，采购单位对于满足合同约定支付条件的，自收到相应金额的发票后7个工作日内将资金支付到合同约定的</w:t>
            </w:r>
            <w:r>
              <w:rPr>
                <w:rFonts w:hint="eastAsia" w:ascii="宋体" w:hAnsi="宋体" w:cs="宋体"/>
                <w:color w:val="auto"/>
                <w:sz w:val="22"/>
                <w:szCs w:val="22"/>
                <w:highlight w:val="none"/>
                <w:u w:val="single"/>
                <w:lang w:eastAsia="zh-CN"/>
              </w:rPr>
              <w:t>中标人</w:t>
            </w:r>
            <w:r>
              <w:rPr>
                <w:rFonts w:hint="eastAsia" w:ascii="宋体" w:hAnsi="宋体" w:cs="宋体"/>
                <w:color w:val="auto"/>
                <w:sz w:val="22"/>
                <w:szCs w:val="22"/>
                <w:highlight w:val="none"/>
                <w:u w:val="single"/>
              </w:rPr>
              <w:t>账户</w:t>
            </w:r>
            <w:r>
              <w:rPr>
                <w:rFonts w:hint="eastAsia" w:ascii="宋体" w:hAnsi="宋体" w:cs="宋体"/>
                <w:color w:val="auto"/>
                <w:sz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7696" w:type="dxa"/>
            <w:tcBorders>
              <w:tl2br w:val="nil"/>
              <w:tr2bl w:val="nil"/>
            </w:tcBorders>
            <w:noWrap w:val="0"/>
            <w:vAlign w:val="center"/>
          </w:tcPr>
          <w:p>
            <w:pPr>
              <w:pStyle w:val="3"/>
              <w:spacing w:line="360" w:lineRule="exact"/>
              <w:rPr>
                <w:rFonts w:ascii="宋体" w:hAnsi="宋体" w:cs="宋体"/>
                <w:color w:val="auto"/>
                <w:sz w:val="22"/>
                <w:highlight w:val="none"/>
                <w:u w:val="single"/>
              </w:rPr>
            </w:pPr>
            <w:r>
              <w:rPr>
                <w:rFonts w:hint="eastAsia" w:ascii="宋体" w:hAnsi="宋体" w:cs="宋体"/>
                <w:color w:val="auto"/>
                <w:sz w:val="22"/>
                <w:szCs w:val="22"/>
                <w:highlight w:val="none"/>
                <w:u w:val="single"/>
              </w:rPr>
              <w:t>▲合同生效以及具备实施条件后7个工作日内，</w:t>
            </w:r>
            <w:r>
              <w:rPr>
                <w:rFonts w:hint="eastAsia" w:ascii="宋体" w:hAnsi="宋体" w:cs="宋体"/>
                <w:color w:val="auto"/>
                <w:sz w:val="22"/>
                <w:szCs w:val="22"/>
                <w:highlight w:val="none"/>
                <w:u w:val="single"/>
                <w:lang w:eastAsia="zh-CN"/>
              </w:rPr>
              <w:t>中标人</w:t>
            </w:r>
            <w:r>
              <w:rPr>
                <w:rFonts w:hint="eastAsia" w:ascii="宋体" w:hAnsi="宋体" w:cs="宋体"/>
                <w:color w:val="auto"/>
                <w:sz w:val="22"/>
                <w:szCs w:val="22"/>
                <w:highlight w:val="none"/>
                <w:u w:val="single"/>
              </w:rPr>
              <w:t>以银行转账/转帐支票/银行汇票/银行、保险公司出具的保函形式向采购人提供5000.00元的履约保证金。履约保证金用于</w:t>
            </w:r>
            <w:r>
              <w:rPr>
                <w:rFonts w:hint="eastAsia" w:ascii="宋体" w:hAnsi="宋体" w:cs="宋体"/>
                <w:color w:val="auto"/>
                <w:sz w:val="22"/>
                <w:szCs w:val="22"/>
                <w:highlight w:val="none"/>
                <w:u w:val="single"/>
                <w:lang w:eastAsia="zh-CN"/>
              </w:rPr>
              <w:t>中标人</w:t>
            </w:r>
            <w:r>
              <w:rPr>
                <w:rFonts w:hint="eastAsia" w:ascii="宋体" w:hAnsi="宋体" w:cs="宋体"/>
                <w:color w:val="auto"/>
                <w:sz w:val="22"/>
                <w:szCs w:val="22"/>
                <w:highlight w:val="none"/>
                <w:u w:val="single"/>
              </w:rPr>
              <w:t>在履行本合同过程中发生违约行为应支付采购人的违约金、赔偿金等费用。如无任何问题，采购人将在</w:t>
            </w:r>
            <w:r>
              <w:rPr>
                <w:rFonts w:hint="eastAsia" w:ascii="宋体" w:hAnsi="宋体" w:cs="宋体"/>
                <w:color w:val="auto"/>
                <w:sz w:val="22"/>
                <w:szCs w:val="22"/>
                <w:highlight w:val="none"/>
                <w:u w:val="single"/>
                <w:lang w:eastAsia="zh-CN"/>
              </w:rPr>
              <w:t>中标人</w:t>
            </w:r>
            <w:r>
              <w:rPr>
                <w:rFonts w:hint="eastAsia" w:ascii="宋体" w:hAnsi="宋体" w:cs="宋体"/>
                <w:color w:val="auto"/>
                <w:sz w:val="22"/>
                <w:szCs w:val="22"/>
                <w:highlight w:val="none"/>
                <w:u w:val="single"/>
              </w:rPr>
              <w:t>履行完毕本合同项下全部义务</w:t>
            </w:r>
            <w:r>
              <w:rPr>
                <w:rFonts w:hint="eastAsia" w:ascii="宋体" w:hAnsi="宋体" w:cs="宋体"/>
                <w:color w:val="auto"/>
                <w:sz w:val="22"/>
                <w:highlight w:val="none"/>
                <w:u w:val="single"/>
              </w:rPr>
              <w:t>（项目验收合格且双方盖章确认）之日起</w:t>
            </w:r>
            <w:r>
              <w:rPr>
                <w:rFonts w:hint="eastAsia" w:ascii="宋体" w:hAnsi="宋体" w:cs="宋体"/>
                <w:color w:val="auto"/>
                <w:sz w:val="22"/>
                <w:highlight w:val="none"/>
                <w:u w:val="single"/>
                <w:lang w:val="en-US" w:eastAsia="zh-CN"/>
              </w:rPr>
              <w:t>5</w:t>
            </w:r>
            <w:r>
              <w:rPr>
                <w:rFonts w:hint="eastAsia" w:ascii="宋体" w:hAnsi="宋体" w:cs="宋体"/>
                <w:color w:val="auto"/>
                <w:sz w:val="22"/>
                <w:highlight w:val="none"/>
                <w:u w:val="single"/>
              </w:rPr>
              <w:t>个工作日内无息退还给</w:t>
            </w:r>
            <w:r>
              <w:rPr>
                <w:rFonts w:hint="eastAsia" w:ascii="宋体" w:hAnsi="宋体" w:cs="宋体"/>
                <w:color w:val="auto"/>
                <w:sz w:val="22"/>
                <w:szCs w:val="22"/>
                <w:highlight w:val="none"/>
                <w:u w:val="single"/>
                <w:lang w:eastAsia="zh-CN"/>
              </w:rPr>
              <w:t>中标人</w:t>
            </w:r>
            <w:r>
              <w:rPr>
                <w:rFonts w:hint="eastAsia" w:ascii="宋体" w:hAnsi="宋体" w:cs="宋体"/>
                <w:color w:val="auto"/>
                <w:sz w:val="22"/>
                <w:highlight w:val="none"/>
                <w:u w:val="single"/>
              </w:rPr>
              <w:t>。</w:t>
            </w:r>
            <w:r>
              <w:rPr>
                <w:rFonts w:hint="eastAsia" w:ascii="宋体" w:hAnsi="宋体" w:cs="宋体"/>
                <w:color w:val="auto"/>
                <w:sz w:val="22"/>
                <w:szCs w:val="22"/>
                <w:highlight w:val="none"/>
                <w:u w:val="single"/>
              </w:rPr>
              <w:t>（保函应满足以下几个条件：①为无条件保函：即在</w:t>
            </w:r>
            <w:r>
              <w:rPr>
                <w:rFonts w:hint="eastAsia" w:ascii="宋体" w:hAnsi="宋体" w:cs="宋体"/>
                <w:color w:val="auto"/>
                <w:sz w:val="22"/>
                <w:szCs w:val="22"/>
                <w:highlight w:val="none"/>
                <w:u w:val="single"/>
                <w:lang w:eastAsia="zh-CN"/>
              </w:rPr>
              <w:t>中标人</w:t>
            </w:r>
            <w:r>
              <w:rPr>
                <w:rFonts w:hint="eastAsia" w:ascii="宋体" w:hAnsi="宋体" w:cs="宋体"/>
                <w:color w:val="auto"/>
                <w:sz w:val="22"/>
                <w:szCs w:val="22"/>
                <w:highlight w:val="none"/>
                <w:u w:val="single"/>
              </w:rPr>
              <w:t>没有实施合同或者未履行合同义务时，采购人不需要出具任何证明和理由，若</w:t>
            </w:r>
            <w:r>
              <w:rPr>
                <w:rFonts w:hint="eastAsia" w:ascii="宋体" w:hAnsi="宋体" w:cs="宋体"/>
                <w:color w:val="auto"/>
                <w:sz w:val="22"/>
                <w:szCs w:val="22"/>
                <w:highlight w:val="none"/>
                <w:u w:val="single"/>
                <w:lang w:eastAsia="zh-CN"/>
              </w:rPr>
              <w:t>中标人</w:t>
            </w:r>
            <w:r>
              <w:rPr>
                <w:rFonts w:hint="eastAsia" w:ascii="宋体" w:hAnsi="宋体" w:cs="宋体"/>
                <w:color w:val="auto"/>
                <w:sz w:val="22"/>
                <w:szCs w:val="22"/>
                <w:highlight w:val="none"/>
                <w:u w:val="single"/>
              </w:rPr>
              <w:t>违约，采购人无需通知</w:t>
            </w:r>
            <w:r>
              <w:rPr>
                <w:rFonts w:hint="eastAsia" w:ascii="宋体" w:hAnsi="宋体" w:cs="宋体"/>
                <w:color w:val="auto"/>
                <w:sz w:val="22"/>
                <w:szCs w:val="22"/>
                <w:highlight w:val="none"/>
                <w:u w:val="single"/>
                <w:lang w:eastAsia="zh-CN"/>
              </w:rPr>
              <w:t>中标人</w:t>
            </w:r>
            <w:r>
              <w:rPr>
                <w:rFonts w:hint="eastAsia" w:ascii="宋体" w:hAnsi="宋体" w:cs="宋体"/>
                <w:color w:val="auto"/>
                <w:sz w:val="22"/>
                <w:szCs w:val="22"/>
                <w:highlight w:val="none"/>
                <w:u w:val="single"/>
              </w:rPr>
              <w:t>，即可单方对保函进行收兑；②保函期限：自本合同生效之日起至合同履约完毕之日止；③如果由于服务期延误或银行、保险公司要求分期出具保函的，则在前一份保函有效期届满之日起2个月前必须重新出具相同内容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服务时间</w:t>
            </w:r>
          </w:p>
        </w:tc>
        <w:tc>
          <w:tcPr>
            <w:tcW w:w="7696" w:type="dxa"/>
            <w:tcBorders>
              <w:tl2br w:val="nil"/>
              <w:tr2bl w:val="nil"/>
            </w:tcBorders>
            <w:noWrap w:val="0"/>
            <w:vAlign w:val="center"/>
          </w:tcPr>
          <w:p>
            <w:pPr>
              <w:pStyle w:val="3"/>
              <w:spacing w:line="360" w:lineRule="exact"/>
              <w:rPr>
                <w:rFonts w:hint="eastAsia" w:ascii="宋体" w:hAnsi="宋体" w:eastAsia="宋体" w:cs="宋体"/>
                <w:color w:val="auto"/>
                <w:sz w:val="22"/>
                <w:highlight w:val="none"/>
                <w:lang w:val="en-US" w:eastAsia="zh-CN"/>
              </w:rPr>
            </w:pPr>
            <w:r>
              <w:rPr>
                <w:rFonts w:hint="eastAsia" w:ascii="宋体" w:hAnsi="宋体" w:cs="宋体"/>
                <w:bCs/>
                <w:color w:val="auto"/>
                <w:sz w:val="22"/>
                <w:szCs w:val="22"/>
                <w:highlight w:val="none"/>
                <w:lang w:val="en-US" w:eastAsia="zh-CN"/>
              </w:rPr>
              <w:t>合同签订之日起至2025年6月30日</w:t>
            </w:r>
            <w:r>
              <w:rPr>
                <w:rFonts w:hint="eastAsia"/>
                <w:color w:val="auto"/>
                <w:highlight w:val="none"/>
                <w:lang w:val="en-US"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服务地点</w:t>
            </w:r>
          </w:p>
        </w:tc>
        <w:tc>
          <w:tcPr>
            <w:tcW w:w="7696" w:type="dxa"/>
            <w:tcBorders>
              <w:tl2br w:val="nil"/>
              <w:tr2bl w:val="nil"/>
            </w:tcBorders>
            <w:noWrap w:val="0"/>
            <w:vAlign w:val="center"/>
          </w:tcPr>
          <w:p>
            <w:pPr>
              <w:pStyle w:val="3"/>
              <w:spacing w:line="360" w:lineRule="exact"/>
              <w:rPr>
                <w:rFonts w:ascii="宋体" w:hAnsi="宋体" w:cs="宋体"/>
                <w:color w:val="auto"/>
                <w:sz w:val="22"/>
                <w:highlight w:val="none"/>
              </w:rPr>
            </w:pPr>
            <w:r>
              <w:rPr>
                <w:rFonts w:hint="eastAsia" w:ascii="宋体" w:hAnsi="宋体" w:cs="宋体"/>
                <w:color w:val="auto"/>
                <w:sz w:val="22"/>
                <w:highlight w:val="none"/>
                <w:lang w:val="en-US"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szCs w:val="22"/>
                <w:highlight w:val="none"/>
                <w:lang w:val="zh-CN"/>
              </w:rPr>
              <w:t>验收标准</w:t>
            </w:r>
          </w:p>
        </w:tc>
        <w:tc>
          <w:tcPr>
            <w:tcW w:w="7696" w:type="dxa"/>
            <w:tcBorders>
              <w:tl2br w:val="nil"/>
              <w:tr2bl w:val="nil"/>
            </w:tcBorders>
            <w:noWrap w:val="0"/>
            <w:vAlign w:val="center"/>
          </w:tcPr>
          <w:p>
            <w:pPr>
              <w:pStyle w:val="3"/>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1.根据项目特点对服务期内的服务实施情况进行的</w:t>
            </w:r>
            <w:r>
              <w:rPr>
                <w:rFonts w:hint="eastAsia" w:ascii="宋体" w:hAnsi="宋体" w:cs="宋体"/>
                <w:color w:val="auto"/>
                <w:sz w:val="22"/>
                <w:szCs w:val="22"/>
                <w:highlight w:val="none"/>
                <w:lang w:val="zh-CN"/>
              </w:rPr>
              <w:t>满意度调查表确认（满意度调查表详见附表一）</w:t>
            </w:r>
            <w:r>
              <w:rPr>
                <w:rFonts w:hint="eastAsia" w:ascii="宋体" w:hAnsi="宋体" w:cs="宋体"/>
                <w:color w:val="auto"/>
                <w:sz w:val="22"/>
                <w:szCs w:val="22"/>
                <w:highlight w:val="none"/>
              </w:rPr>
              <w:t>作为验收依据。</w:t>
            </w:r>
          </w:p>
          <w:p>
            <w:pPr>
              <w:pStyle w:val="3"/>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2.本项目履约验收参照《温州市政府采购履约验收办法》(温财采[2020]6号)相关规定。合同履约达到验收条件时，</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向采购人书面发起验收申请，采购人或者其委托的采购代理机构(以下简称验收组织机构)在收到</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验收申请五个工作日内启动项目验收。</w:t>
            </w:r>
          </w:p>
          <w:p>
            <w:pPr>
              <w:pStyle w:val="3"/>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本项目金额在采购限额标准以上，原则上应采用一般程序验收。验收小组应当由五人以上(含本数)单数、熟悉项目需求和标的人员组成，其中相关专业技术人员人数不得少于验收小组人员总数的三分之二。验收组织机构应当按照采购文件、投标文件、采购合同等约定的服务实施情况，结合满意度调查表情况和服务效果进行验收。未约定的，应当符合国家强制性规定、政策要求、安全标准、行业或企业有关标准等。</w:t>
            </w:r>
          </w:p>
          <w:p>
            <w:pPr>
              <w:pStyle w:val="3"/>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szCs w:val="22"/>
                <w:highlight w:val="none"/>
              </w:rPr>
              <w:t>4.采购人依据验收书和</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其他履约情况，对验收项目作出整体评价和分类评价，形成验收结果，除涉密情形外，采购人应在评价后2个工作日内在浙江政府采购网发布验收结果。</w:t>
            </w:r>
          </w:p>
        </w:tc>
      </w:tr>
    </w:tbl>
    <w:p>
      <w:pPr>
        <w:snapToGrid w:val="0"/>
        <w:spacing w:line="360" w:lineRule="exact"/>
        <w:rPr>
          <w:rFonts w:hint="eastAsia" w:ascii="宋体" w:hAnsi="宋体" w:cs="宋体"/>
          <w:b/>
          <w:bCs/>
          <w:color w:val="auto"/>
          <w:spacing w:val="-6"/>
          <w:sz w:val="22"/>
          <w:highlight w:val="none"/>
        </w:rPr>
      </w:pPr>
    </w:p>
    <w:p>
      <w:pPr>
        <w:numPr>
          <w:ilvl w:val="0"/>
          <w:numId w:val="1"/>
        </w:num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noWrap w:val="0"/>
            <w:vAlign w:val="top"/>
          </w:tcPr>
          <w:p>
            <w:pPr>
              <w:numPr>
                <w:ilvl w:val="0"/>
                <w:numId w:val="0"/>
              </w:numPr>
              <w:snapToGrid w:val="0"/>
              <w:spacing w:line="460" w:lineRule="exact"/>
              <w:ind w:left="0"/>
              <w:rPr>
                <w:rFonts w:hint="eastAsia" w:ascii="宋体" w:hAnsi="宋体" w:cs="宋体"/>
                <w:b/>
                <w:bCs/>
                <w:color w:val="auto"/>
                <w:spacing w:val="-6"/>
                <w:sz w:val="22"/>
                <w:szCs w:val="22"/>
                <w:highlight w:val="none"/>
              </w:rPr>
            </w:pPr>
            <w:r>
              <w:rPr>
                <w:rFonts w:hint="eastAsia" w:ascii="宋体" w:hAnsi="宋体" w:cs="宋体"/>
                <w:b/>
                <w:bCs/>
                <w:color w:val="auto"/>
                <w:spacing w:val="-6"/>
                <w:sz w:val="22"/>
                <w:szCs w:val="22"/>
                <w:highlight w:val="none"/>
              </w:rPr>
              <w:t>采购内容及技术要求</w:t>
            </w:r>
          </w:p>
          <w:p>
            <w:pPr>
              <w:pStyle w:val="7"/>
              <w:spacing w:before="0" w:beforeAutospacing="0" w:after="0" w:afterAutospacing="0" w:line="460" w:lineRule="exact"/>
              <w:jc w:val="both"/>
              <w:rPr>
                <w:rFonts w:hint="eastAsia"/>
                <w:color w:val="auto"/>
                <w:sz w:val="22"/>
                <w:szCs w:val="22"/>
                <w:highlight w:val="none"/>
              </w:rPr>
            </w:pPr>
            <w:r>
              <w:rPr>
                <w:rFonts w:hint="eastAsia"/>
                <w:color w:val="auto"/>
                <w:sz w:val="22"/>
                <w:szCs w:val="22"/>
                <w:highlight w:val="none"/>
              </w:rPr>
              <w:t>（</w:t>
            </w:r>
            <w:bookmarkStart w:id="0" w:name="_Hlk69633507"/>
            <w:r>
              <w:rPr>
                <w:rFonts w:hint="eastAsia"/>
                <w:color w:val="auto"/>
                <w:sz w:val="22"/>
                <w:szCs w:val="22"/>
                <w:highlight w:val="none"/>
              </w:rPr>
              <w:t>一）需实现的功能或者目标：满足温州肯恩大学202</w:t>
            </w:r>
            <w:r>
              <w:rPr>
                <w:rFonts w:hint="eastAsia"/>
                <w:color w:val="auto"/>
                <w:sz w:val="22"/>
                <w:szCs w:val="22"/>
                <w:highlight w:val="none"/>
                <w:lang w:val="en-US" w:eastAsia="zh-CN"/>
              </w:rPr>
              <w:t>4</w:t>
            </w:r>
            <w:r>
              <w:rPr>
                <w:rFonts w:hint="eastAsia"/>
                <w:color w:val="auto"/>
                <w:sz w:val="22"/>
                <w:szCs w:val="22"/>
                <w:highlight w:val="none"/>
              </w:rPr>
              <w:t>年度疗休养服务使用。</w:t>
            </w:r>
          </w:p>
          <w:p>
            <w:pPr>
              <w:pStyle w:val="7"/>
              <w:spacing w:before="0" w:beforeAutospacing="0" w:after="0" w:afterAutospacing="0" w:line="460" w:lineRule="exact"/>
              <w:jc w:val="both"/>
              <w:rPr>
                <w:rFonts w:hint="eastAsia"/>
                <w:color w:val="auto"/>
                <w:sz w:val="22"/>
                <w:szCs w:val="22"/>
                <w:highlight w:val="none"/>
              </w:rPr>
            </w:pPr>
            <w:r>
              <w:rPr>
                <w:rFonts w:hint="eastAsia"/>
                <w:color w:val="auto"/>
                <w:sz w:val="22"/>
                <w:szCs w:val="22"/>
                <w:highlight w:val="none"/>
              </w:rPr>
              <w:t>（二）需执行的国家相关标准、行业标准、地方标准或者其他标准、规范：有强制性标准的执行国家强制性标准，无的统一执行最新相关标准、规范。</w:t>
            </w:r>
          </w:p>
          <w:p>
            <w:pPr>
              <w:pStyle w:val="7"/>
              <w:spacing w:before="0" w:beforeAutospacing="0" w:after="0" w:afterAutospacing="0" w:line="460" w:lineRule="exact"/>
              <w:jc w:val="both"/>
              <w:rPr>
                <w:rFonts w:hint="eastAsia"/>
                <w:color w:val="auto"/>
                <w:sz w:val="22"/>
                <w:szCs w:val="22"/>
                <w:highlight w:val="none"/>
              </w:rPr>
            </w:pPr>
            <w:r>
              <w:rPr>
                <w:rFonts w:hint="eastAsia"/>
                <w:color w:val="auto"/>
                <w:sz w:val="22"/>
                <w:szCs w:val="22"/>
                <w:highlight w:val="none"/>
              </w:rPr>
              <w:t>（三）需满足的质量、安全、技术规格、物理特性等要求：</w:t>
            </w:r>
          </w:p>
          <w:p>
            <w:pPr>
              <w:autoSpaceDN w:val="0"/>
              <w:spacing w:line="460" w:lineRule="exact"/>
              <w:rPr>
                <w:rFonts w:hint="eastAsia" w:ascii="宋体" w:hAnsi="宋体" w:cs="宋体"/>
                <w:color w:val="auto"/>
                <w:kern w:val="0"/>
                <w:sz w:val="22"/>
                <w:szCs w:val="22"/>
                <w:highlight w:val="none"/>
              </w:rPr>
            </w:pPr>
            <w:r>
              <w:rPr>
                <w:rFonts w:hint="eastAsia" w:ascii="宋体" w:hAnsi="宋体" w:cs="宋体"/>
                <w:color w:val="auto"/>
                <w:sz w:val="22"/>
                <w:szCs w:val="22"/>
                <w:highlight w:val="none"/>
              </w:rPr>
              <w:t>1</w:t>
            </w:r>
            <w:r>
              <w:rPr>
                <w:rFonts w:hint="eastAsia" w:ascii="宋体" w:hAnsi="宋体" w:cs="宋体"/>
                <w:color w:val="auto"/>
                <w:kern w:val="0"/>
                <w:sz w:val="22"/>
                <w:szCs w:val="22"/>
                <w:highlight w:val="none"/>
              </w:rPr>
              <w:t>、招标项目内容：</w:t>
            </w:r>
          </w:p>
          <w:p>
            <w:pPr>
              <w:autoSpaceDN w:val="0"/>
              <w:spacing w:line="4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zh-CN"/>
              </w:rPr>
              <w:t>温州肯恩大学202</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lang w:val="zh-CN"/>
              </w:rPr>
              <w:t>年度疗休养服务</w:t>
            </w:r>
            <w:r>
              <w:rPr>
                <w:rFonts w:hint="eastAsia" w:ascii="宋体" w:hAnsi="宋体" w:cs="宋体"/>
                <w:color w:val="auto"/>
                <w:kern w:val="0"/>
                <w:sz w:val="22"/>
                <w:szCs w:val="22"/>
                <w:highlight w:val="none"/>
              </w:rPr>
              <w:t xml:space="preserve">项目 </w:t>
            </w:r>
          </w:p>
          <w:p>
            <w:p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2、实施原则 </w:t>
            </w:r>
          </w:p>
          <w:p>
            <w:pPr>
              <w:autoSpaceDN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为维护教职工的劳动保护和休息休养权、贯彻《健康中国2030规划纲要》，温州肯恩大学依法履行好党和政府赋予工会开展教职工疗休养的社会职责，保护和促进我市广大教职工身心健康，让教职工愉悦身心，休养生息。</w:t>
            </w:r>
          </w:p>
          <w:p>
            <w:pPr>
              <w:autoSpaceDN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年度疗休养服务项目以参加教职工疗休养的人次为单位，202</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年在职教职工参加疗休养活动，实际价格按实际出发人员计算。</w:t>
            </w:r>
          </w:p>
          <w:p>
            <w:pPr>
              <w:autoSpaceDN w:val="0"/>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职工疗休养以休息休养为主，鼓励适当安排健康讲座、文体活动和就近参观学习、乡村体验等活动，将疗休养活动与爱国主义教育、提升职工素质结合起来。</w:t>
            </w:r>
          </w:p>
          <w:p>
            <w:pPr>
              <w:autoSpaceDN w:val="0"/>
              <w:spacing w:line="46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职工疗休养目的地：优先选择在温州市域内开展疗休养。鼓励教职工到我省山区26县开展疗休养活动，助力乡村振兴和山区26县跨越发展。在疫情防控许可前提下，可按照规定组织到邻省、对口帮扶（援助、合作）地区开展职工疗休养活动。严格控制跨省疗养人数，组织跨省疗养教职工人数不超过当年本单位参加疗休养职工总数的三分之一，跨省疗休养参加对象三年内不重复安排。</w:t>
            </w:r>
          </w:p>
          <w:p>
            <w:pPr>
              <w:autoSpaceDN w:val="0"/>
              <w:spacing w:line="460" w:lineRule="exact"/>
              <w:ind w:firstLine="440" w:firstLineChars="200"/>
              <w:rPr>
                <w:rFonts w:hint="eastAsia" w:ascii="宋体" w:hAnsi="宋体" w:cs="宋体"/>
                <w:color w:val="auto"/>
                <w:sz w:val="22"/>
                <w:szCs w:val="22"/>
                <w:highlight w:val="none"/>
              </w:rPr>
            </w:pPr>
            <w:r>
              <w:rPr>
                <w:rFonts w:hint="eastAsia" w:ascii="宋体" w:hAnsi="宋体" w:eastAsia="宋体" w:cs="宋体"/>
                <w:color w:val="auto"/>
                <w:sz w:val="22"/>
                <w:highlight w:val="none"/>
              </w:rPr>
              <w:t>本次为</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个标项，标</w:t>
            </w:r>
            <w:r>
              <w:rPr>
                <w:rFonts w:hint="eastAsia" w:ascii="宋体" w:hAnsi="宋体" w:cs="宋体"/>
                <w:color w:val="auto"/>
                <w:sz w:val="22"/>
                <w:szCs w:val="22"/>
                <w:highlight w:val="none"/>
              </w:rPr>
              <w:t>项具体人数不固定，按照参加每个线路的人数根据实际人数计算，</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须自行承担投标风险。教职工疗休养按合同约定的线路、服务标准和其他要求，根据疗休养教职工实际报名的线路组团实施，按照实际组团的人次结算。</w:t>
            </w:r>
          </w:p>
          <w:p>
            <w:pPr>
              <w:autoSpaceDN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教职工疗休养时间（含在途时间）见附表二。</w:t>
            </w:r>
          </w:p>
          <w:p>
            <w:pPr>
              <w:autoSpaceDN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教职工可携带家属，但教职工家属的全部费用由教职工自行负责，不在此项目的预算范围内。</w:t>
            </w:r>
          </w:p>
          <w:p>
            <w:p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3、项目具体线路安排及要求：</w:t>
            </w:r>
          </w:p>
          <w:p>
            <w:pPr>
              <w:autoSpaceDN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教职工疗休养总数不固定，具体结算人数以疗养出行的个数进行结算，</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需考虑由此产生的风险。</w:t>
            </w:r>
          </w:p>
          <w:p>
            <w:pPr>
              <w:autoSpaceDN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路线：见附表二</w:t>
            </w:r>
          </w:p>
          <w:p>
            <w:pPr>
              <w:autoSpaceDN w:val="0"/>
              <w:spacing w:line="4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具体要求如下：</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线路：在实施阶段，疗养人员可任选市内、省内或跨省某一线路。</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应考虑职工疗休养的公平性、均衡性（</w:t>
            </w:r>
            <w:r>
              <w:rPr>
                <w:rFonts w:hint="eastAsia" w:ascii="宋体" w:hAnsi="宋体" w:cs="宋体"/>
                <w:color w:val="auto"/>
                <w:sz w:val="22"/>
                <w:highlight w:val="none"/>
              </w:rPr>
              <w:t>即保证温州市域任一线路的疗休养标准基本一致、浙江省内疗休养合作城市任一线路的疗休养标准基本一致、邻省任一线路的疗休养标准基本一致、对口支援（帮扶、合作）地区任一线路的疗休养标准基本一致</w:t>
            </w:r>
            <w:r>
              <w:rPr>
                <w:rFonts w:hint="eastAsia" w:ascii="宋体" w:hAnsi="宋体" w:cs="宋体"/>
                <w:color w:val="auto"/>
                <w:sz w:val="22"/>
                <w:szCs w:val="22"/>
                <w:highlight w:val="none"/>
              </w:rPr>
              <w:t>），安排上述线路的具体方案。</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的方案应获得采购人的认可，采购人保留对</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的某一线路指定其他方案的权利。线路规划原则：以“疗、休、养”为主题，保护和促进采购人广大教职工身心健康，让职工愉悦身心，休养生息，提升采购人教职工对疗休养服务的满意度。</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交通：具体见附表二。如有动车高铁，需安排动车高铁。从温州至线路目的地就近的动车车站（个人出发点至高铁站点的来回路费由个人自理，如</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主动提出人员接送的除外），其余路线采用空调旅游车（包括从车站至疗休养酒店或安排的景点、景区内交通等）。高铁为二等座；空调旅游车应提供车况好（20</w:t>
            </w:r>
            <w:r>
              <w:rPr>
                <w:rFonts w:ascii="宋体" w:hAnsi="宋体" w:cs="宋体"/>
                <w:color w:val="auto"/>
                <w:sz w:val="22"/>
                <w:szCs w:val="22"/>
                <w:highlight w:val="none"/>
              </w:rPr>
              <w:t>2</w:t>
            </w: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年1月以后登记上牌）、内饰干净、下部有行李箱的车辆；驾驶员应具备准驾车型至少三年以上驾龄。</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应预备不同人数团队的适配车型，并得到采购人认可为准；团队出发前需提供高铁车票、旅游车辆及驾驶员信息；报团出行人按</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要求提早提供相关身份证信息，以供购买高铁车票和安排适配车型。</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住宿：住宿标准为两人一间（温州市域范围内一人一间），主要安排标准间。挂牌四星或相当于四星标准以上、</w:t>
            </w:r>
            <w:r>
              <w:rPr>
                <w:rFonts w:hint="eastAsia" w:ascii="宋体" w:hAnsi="宋体" w:cs="宋体"/>
                <w:color w:val="auto"/>
                <w:spacing w:val="-6"/>
                <w:sz w:val="22"/>
                <w:szCs w:val="22"/>
                <w:highlight w:val="none"/>
                <w:u w:val="single"/>
              </w:rPr>
              <w:t>▲</w:t>
            </w:r>
            <w:r>
              <w:rPr>
                <w:rFonts w:hint="eastAsia" w:ascii="宋体" w:hAnsi="宋体" w:cs="宋体"/>
                <w:color w:val="auto"/>
                <w:sz w:val="22"/>
                <w:szCs w:val="22"/>
                <w:highlight w:val="none"/>
                <w:u w:val="single"/>
              </w:rPr>
              <w:t>且能接待外宾的酒店（或度假村等同标准住宿，下同）</w:t>
            </w:r>
            <w:r>
              <w:rPr>
                <w:rFonts w:hint="eastAsia" w:ascii="宋体" w:hAnsi="宋体" w:cs="宋体"/>
                <w:color w:val="auto"/>
                <w:sz w:val="22"/>
                <w:szCs w:val="22"/>
                <w:highlight w:val="none"/>
              </w:rPr>
              <w:t>（酒店未评挂星的，应提供相关酒店网站截图、评分资料或其他相关证明资料供评委评审认定），住宿为标准间。住宿要求尽可能在同一楼层，房间干净，各个设施齐全且能正常使用，24小时供应热水。</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方案应列出每一线路的酒店名称、具体地点、网评分（网页截图）、单人房补差的费用等，</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具体安排酒店的方案，得到采购人认可为准</w:t>
            </w:r>
            <w:r>
              <w:rPr>
                <w:rFonts w:hint="eastAsia" w:ascii="宋体" w:hAnsi="宋体" w:cs="宋体"/>
                <w:b/>
                <w:bCs/>
                <w:color w:val="auto"/>
                <w:sz w:val="22"/>
                <w:szCs w:val="22"/>
                <w:highlight w:val="none"/>
              </w:rPr>
              <w:t>。</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时间：具体见附表二。服务期内，随时可参考市内路线安排。202</w:t>
            </w:r>
            <w:r>
              <w:rPr>
                <w:rFonts w:hint="eastAsia" w:ascii="宋体" w:hAnsi="宋体" w:cs="宋体"/>
                <w:color w:val="auto"/>
                <w:sz w:val="22"/>
                <w:szCs w:val="22"/>
                <w:highlight w:val="none"/>
                <w:lang w:val="en-US" w:eastAsia="zh-CN"/>
              </w:rPr>
              <w:t>4-2025</w:t>
            </w:r>
            <w:r>
              <w:rPr>
                <w:rFonts w:hint="eastAsia" w:ascii="宋体" w:hAnsi="宋体" w:cs="宋体"/>
                <w:color w:val="auto"/>
                <w:sz w:val="22"/>
                <w:szCs w:val="22"/>
                <w:highlight w:val="none"/>
              </w:rPr>
              <w:t>学年夏季和冬季期间可参考省内和省外线路安排。组团按采购人计划实施，</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具体出团及返回时间的方案，得到采购人认可为准。疗休养期间采购人会尽量避开双休日。</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餐标：</w:t>
            </w:r>
            <w:r>
              <w:rPr>
                <w:rFonts w:hint="eastAsia" w:ascii="宋体" w:hAnsi="宋体" w:cs="宋体"/>
                <w:color w:val="auto"/>
                <w:sz w:val="22"/>
                <w:highlight w:val="none"/>
              </w:rPr>
              <w:t>早餐自助，中、晚餐全部桌餐。浙江省内（含温州市域）每天正餐餐标不低于130元/人·天，周边省份每天正餐餐标不低于100元/人·天，对口支援（帮扶、合作）地区每天正餐餐标不低于100元/人·天，晚餐配备饮料，食物要求新鲜、安全，适合老师口味。要求菜品多样。餐厅交通便利，环境较好。具体餐标以</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编制并获得采购人认可的方案为准。</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景点：</w:t>
            </w:r>
            <w:r>
              <w:rPr>
                <w:rFonts w:hint="eastAsia" w:ascii="宋体" w:hAnsi="宋体" w:cs="宋体"/>
                <w:color w:val="auto"/>
                <w:sz w:val="22"/>
                <w:highlight w:val="none"/>
              </w:rPr>
              <w:t>包含线路安排的主要景区，至少包括一处4A级及以上景点，其他沿途景点或周边景点以</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编制并获得采购人认可的方案为准，</w:t>
            </w:r>
            <w:r>
              <w:rPr>
                <w:rFonts w:hint="eastAsia" w:ascii="宋体" w:hAnsi="宋体" w:cs="宋体"/>
                <w:b/>
                <w:color w:val="auto"/>
                <w:sz w:val="22"/>
                <w:highlight w:val="none"/>
              </w:rPr>
              <w:t>不得安排购物点</w:t>
            </w:r>
            <w:r>
              <w:rPr>
                <w:rFonts w:hint="eastAsia" w:ascii="宋体" w:hAnsi="宋体" w:cs="宋体"/>
                <w:color w:val="auto"/>
                <w:sz w:val="22"/>
                <w:highlight w:val="none"/>
              </w:rPr>
              <w:t>。景点门票包括大门票和景点内必游的小门票，以及索道（如有）、电瓶车（如有）、游船（如有）等，自费的娱乐项目除外。方案应针对每条线路具体编制，并列出每个参观景点及计划参观时间等。</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服务人员：设本项目服务专员（项目负责人），要求具备一定的资历资格和丰富的从业经验以及应急处理相关事务等能力。加强双方沟通，应根据采购人要求予以调整并得到采购人认可。具体出团全程（高铁除外）配导游（地陪），要求不少于三年导游经验，</w:t>
            </w:r>
            <w:r>
              <w:rPr>
                <w:rFonts w:hint="eastAsia" w:ascii="宋体" w:hAnsi="宋体" w:cs="宋体"/>
                <w:color w:val="auto"/>
                <w:spacing w:val="-6"/>
                <w:sz w:val="22"/>
                <w:szCs w:val="22"/>
                <w:highlight w:val="none"/>
                <w:u w:val="single"/>
              </w:rPr>
              <w:t>▲</w:t>
            </w:r>
            <w:r>
              <w:rPr>
                <w:rFonts w:hint="eastAsia" w:ascii="宋体" w:hAnsi="宋体" w:cs="宋体"/>
                <w:color w:val="auto"/>
                <w:sz w:val="22"/>
                <w:szCs w:val="22"/>
                <w:highlight w:val="none"/>
                <w:u w:val="single"/>
              </w:rPr>
              <w:t>能中英双语引导、讲解景点山水、典故等，解决旅途中可能出现的突发事件，并给予游客食、宿、行等方面的帮助</w:t>
            </w:r>
            <w:r>
              <w:rPr>
                <w:rFonts w:hint="eastAsia" w:ascii="宋体" w:hAnsi="宋体" w:cs="宋体"/>
                <w:color w:val="auto"/>
                <w:sz w:val="22"/>
                <w:szCs w:val="22"/>
                <w:highlight w:val="none"/>
              </w:rPr>
              <w:t>。</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导游：全程陪同及当地优秀资质公司有导游资格的专业导游讲解服务。</w:t>
            </w:r>
          </w:p>
          <w:p>
            <w:pPr>
              <w:numPr>
                <w:ilvl w:val="0"/>
                <w:numId w:val="2"/>
              </w:numPr>
              <w:autoSpaceDN w:val="0"/>
              <w:spacing w:line="460" w:lineRule="exact"/>
              <w:rPr>
                <w:rFonts w:ascii="宋体" w:hAnsi="宋体" w:cs="宋体"/>
                <w:color w:val="auto"/>
                <w:sz w:val="22"/>
                <w:highlight w:val="none"/>
              </w:rPr>
            </w:pPr>
            <w:r>
              <w:rPr>
                <w:rFonts w:hint="eastAsia" w:ascii="宋体" w:hAnsi="宋体" w:cs="宋体"/>
                <w:color w:val="auto"/>
                <w:sz w:val="22"/>
                <w:szCs w:val="22"/>
                <w:highlight w:val="none"/>
              </w:rPr>
              <w:t>组团：</w:t>
            </w:r>
            <w:r>
              <w:rPr>
                <w:rFonts w:hint="eastAsia" w:ascii="宋体" w:hAnsi="宋体" w:cs="宋体"/>
                <w:color w:val="auto"/>
                <w:sz w:val="22"/>
                <w:highlight w:val="none"/>
              </w:rPr>
              <w:t>采购人内部公布线路和</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方案后，由教职工自由报名组团[座位45座及以上，（若团员人数少，可根据情况适当调整车辆，但须提前报学校经同意后方可调整，</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可提前在标书中做好预案供采购人参考），</w:t>
            </w:r>
            <w:r>
              <w:rPr>
                <w:rFonts w:hint="eastAsia" w:ascii="宋体" w:hAnsi="宋体" w:cs="宋体"/>
                <w:b/>
                <w:bCs/>
                <w:color w:val="auto"/>
                <w:sz w:val="22"/>
                <w:highlight w:val="none"/>
              </w:rPr>
              <w:t>最低组团人数不低于20人（已报名成团的，因临时退团不足20人的，该团继续出行），20人（不含）经学校或者老师同意后与其他单位共同组团成功（前提是学校或者老师与其他单位达成一致的情况下）</w:t>
            </w:r>
            <w:r>
              <w:rPr>
                <w:rFonts w:hint="eastAsia" w:ascii="宋体" w:hAnsi="宋体" w:cs="宋体"/>
                <w:color w:val="auto"/>
                <w:sz w:val="22"/>
                <w:highlight w:val="none"/>
              </w:rPr>
              <w:t>，</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可提出更灵活更优惠的方案。因采购人工作的特殊性，组团后可能出现临时退团的情形，临时退团产生的费用不足3000元的在此费用中直接扣除（超3000元部分由退团教职工自负），退团后再次参团产生的费用（含退团费）超3000元部分由退团教职工自负，并保证不得降低未退团教职工约定的疗休养标准，由以上原因产生的风险由</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综合考虑进行报价。</w:t>
            </w:r>
          </w:p>
          <w:p>
            <w:pPr>
              <w:autoSpaceDN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highlight w:val="none"/>
              </w:rPr>
              <w:t>除上述外，</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还应提出相应的应急方案，如出团前提出退团的或因退团导致出团人数过少的解决方案或应急措施，以</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编制并获得采购人认可的方案为准</w:t>
            </w:r>
          </w:p>
          <w:p>
            <w:pPr>
              <w:numPr>
                <w:ilvl w:val="0"/>
                <w:numId w:val="2"/>
              </w:numPr>
              <w:autoSpaceDN w:val="0"/>
              <w:spacing w:line="460" w:lineRule="exact"/>
              <w:rPr>
                <w:rFonts w:ascii="宋体" w:hAnsi="宋体" w:cs="宋体"/>
                <w:color w:val="auto"/>
                <w:sz w:val="22"/>
                <w:szCs w:val="22"/>
                <w:highlight w:val="none"/>
              </w:rPr>
            </w:pPr>
            <w:r>
              <w:rPr>
                <w:rFonts w:hint="eastAsia" w:ascii="宋体" w:hAnsi="宋体" w:cs="宋体"/>
                <w:color w:val="auto"/>
                <w:sz w:val="22"/>
                <w:szCs w:val="22"/>
                <w:highlight w:val="none"/>
              </w:rPr>
              <w:t>费用：包括</w:t>
            </w:r>
            <w:r>
              <w:rPr>
                <w:rFonts w:hint="eastAsia" w:ascii="宋体" w:hAnsi="宋体" w:cs="宋体"/>
                <w:color w:val="auto"/>
                <w:sz w:val="22"/>
                <w:highlight w:val="none"/>
              </w:rPr>
              <w:t>参团教职工吃、住、行及景点门票费、导游费、保险费（旅游全程保险费）、服务人员（导游、司机等）吃、住、行费用、税费、验收、采购代理服务费、</w:t>
            </w:r>
            <w:r>
              <w:rPr>
                <w:rFonts w:hint="eastAsia" w:ascii="宋体" w:hAnsi="宋体" w:cs="宋体"/>
                <w:color w:val="auto"/>
                <w:sz w:val="22"/>
                <w:highlight w:val="none"/>
                <w:lang w:eastAsia="zh-CN"/>
              </w:rPr>
              <w:t>投标人</w:t>
            </w:r>
            <w:r>
              <w:rPr>
                <w:rFonts w:hint="eastAsia" w:ascii="宋体" w:hAnsi="宋体" w:cs="宋体"/>
                <w:color w:val="auto"/>
                <w:sz w:val="22"/>
                <w:highlight w:val="none"/>
              </w:rPr>
              <w:t>预计的其他费用和风险费用</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应根据自身编制的具体方案并考虑职工疗休养的公平性、均衡性，对省内线路和跨省线路分别综合报价。报价所涉及的线路景点中应包含所有景点门票。其他因疗休养活动单位原因产生的费用按实结算，以疗休养活动单位带队人员签字的清单为核算依据。</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保险：为每位参加人员购买保障金额不低于100万元的人身意外保险，乘坐飞机、火车、客车等公共交通工具的，必需购买公共交通意外保险。</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参加疗休养人员名单和个人信息不得外泄。</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服务结束后进行满意度测评。</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项目实施方案成交后一周内报采购人做确认，如遇恶劣天气等特殊情况，无法成团出行目的地的，需及时调整出行方案，采购人认可后可调整目的地或视情况取消出行。</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每次组团结束，服务对象（参团职工）填写《满意度调查表》，由</w:t>
            </w: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采用线上或线下形式进行，采购人根据满意度调查表统计的满意率作为支付合同款项的依据之一。当次满意率不达标时（满意度为70%及以上即为达标。），出现第一次下浮当次出行费用的5%幅度予以结算，并给予口头批评；出现第二次下浮当次出行费用的10%幅度予以结算，并给予通报批评；出现第三次下浮当次出行费用的</w:t>
            </w:r>
            <w:r>
              <w:rPr>
                <w:rFonts w:ascii="宋体" w:hAnsi="宋体" w:cs="宋体"/>
                <w:color w:val="auto"/>
                <w:sz w:val="22"/>
                <w:szCs w:val="22"/>
                <w:highlight w:val="none"/>
              </w:rPr>
              <w:t>2</w:t>
            </w:r>
            <w:r>
              <w:rPr>
                <w:rFonts w:hint="eastAsia" w:ascii="宋体" w:hAnsi="宋体" w:cs="宋体"/>
                <w:color w:val="auto"/>
                <w:sz w:val="22"/>
                <w:szCs w:val="22"/>
                <w:highlight w:val="none"/>
              </w:rPr>
              <w:t>0%幅度予以结算，</w:t>
            </w:r>
            <w:r>
              <w:rPr>
                <w:rFonts w:hint="eastAsia" w:ascii="宋体" w:hAnsi="宋体" w:cs="宋体"/>
                <w:color w:val="auto"/>
                <w:sz w:val="22"/>
                <w:szCs w:val="22"/>
                <w:highlight w:val="none"/>
                <w:lang w:eastAsia="zh-CN"/>
              </w:rPr>
              <w:t>采购人</w:t>
            </w:r>
            <w:r>
              <w:rPr>
                <w:rFonts w:hint="eastAsia" w:ascii="宋体" w:hAnsi="宋体" w:cs="宋体"/>
                <w:color w:val="auto"/>
                <w:sz w:val="22"/>
                <w:szCs w:val="22"/>
                <w:highlight w:val="none"/>
              </w:rPr>
              <w:t>有权单方面解除合同。满意度调查表见附表一。合同履行期间出现投诉3次以上并查证属实的，采购人有权解除单方面合同。（举例：当次</w:t>
            </w:r>
            <w:r>
              <w:rPr>
                <w:rFonts w:hint="eastAsia" w:ascii="宋体" w:hAnsi="宋体" w:cs="宋体"/>
                <w:color w:val="auto"/>
                <w:kern w:val="0"/>
                <w:sz w:val="22"/>
                <w:szCs w:val="22"/>
                <w:highlight w:val="none"/>
                <w:lang w:bidi="ar"/>
              </w:rPr>
              <w:t>满意</w:t>
            </w:r>
            <w:r>
              <w:rPr>
                <w:rFonts w:hint="eastAsia" w:ascii="宋体" w:hAnsi="宋体" w:cs="宋体"/>
                <w:color w:val="auto"/>
                <w:sz w:val="22"/>
                <w:szCs w:val="22"/>
                <w:highlight w:val="none"/>
              </w:rPr>
              <w:t>率</w:t>
            </w:r>
            <w:r>
              <w:rPr>
                <w:rFonts w:hint="eastAsia" w:ascii="宋体" w:hAnsi="宋体" w:cs="宋体"/>
                <w:color w:val="auto"/>
                <w:kern w:val="0"/>
                <w:sz w:val="22"/>
                <w:szCs w:val="22"/>
                <w:highlight w:val="none"/>
                <w:lang w:bidi="ar"/>
              </w:rPr>
              <w:t>=1-</w:t>
            </w:r>
            <w:r>
              <w:rPr>
                <w:rFonts w:hint="eastAsia" w:ascii="宋体" w:hAnsi="宋体" w:cs="宋体"/>
                <w:color w:val="auto"/>
                <w:sz w:val="22"/>
                <w:szCs w:val="22"/>
                <w:highlight w:val="none"/>
              </w:rPr>
              <w:t>每次满意度调查表有效差评数量</w:t>
            </w:r>
            <w:r>
              <w:rPr>
                <w:rFonts w:hint="eastAsia" w:ascii="宋体" w:hAnsi="宋体" w:cs="宋体"/>
                <w:color w:val="auto"/>
                <w:kern w:val="0"/>
                <w:sz w:val="22"/>
                <w:szCs w:val="22"/>
                <w:highlight w:val="none"/>
                <w:lang w:bidi="ar"/>
              </w:rPr>
              <w:t>/有效</w:t>
            </w:r>
            <w:r>
              <w:rPr>
                <w:rFonts w:hint="eastAsia" w:ascii="宋体" w:hAnsi="宋体" w:cs="宋体"/>
                <w:color w:val="auto"/>
                <w:sz w:val="22"/>
                <w:szCs w:val="22"/>
                <w:highlight w:val="none"/>
              </w:rPr>
              <w:t>满意度调查表数量</w:t>
            </w:r>
            <w:r>
              <w:rPr>
                <w:rFonts w:hint="eastAsia" w:ascii="宋体" w:hAnsi="宋体" w:cs="宋体"/>
                <w:color w:val="auto"/>
                <w:kern w:val="0"/>
                <w:sz w:val="22"/>
                <w:szCs w:val="22"/>
                <w:highlight w:val="none"/>
                <w:lang w:bidi="ar"/>
              </w:rPr>
              <w:t>（举例：</w:t>
            </w:r>
            <w:r>
              <w:rPr>
                <w:rFonts w:hint="eastAsia" w:ascii="宋体" w:hAnsi="宋体" w:cs="宋体"/>
                <w:color w:val="auto"/>
                <w:sz w:val="22"/>
                <w:szCs w:val="22"/>
                <w:highlight w:val="none"/>
              </w:rPr>
              <w:t>当次出团人数30人，</w:t>
            </w:r>
            <w:r>
              <w:rPr>
                <w:rFonts w:hint="eastAsia" w:ascii="宋体" w:hAnsi="宋体" w:cs="宋体"/>
                <w:color w:val="auto"/>
                <w:kern w:val="0"/>
                <w:sz w:val="22"/>
                <w:highlight w:val="none"/>
                <w:lang w:bidi="ar"/>
              </w:rPr>
              <w:t>其中有效的</w:t>
            </w:r>
            <w:r>
              <w:rPr>
                <w:rFonts w:hint="eastAsia" w:ascii="宋体" w:hAnsi="宋体" w:cs="宋体"/>
                <w:color w:val="auto"/>
                <w:sz w:val="22"/>
                <w:szCs w:val="22"/>
                <w:highlight w:val="none"/>
              </w:rPr>
              <w:t>调查表</w:t>
            </w:r>
            <w:r>
              <w:rPr>
                <w:rFonts w:hint="eastAsia" w:ascii="宋体" w:hAnsi="宋体" w:cs="宋体"/>
                <w:color w:val="auto"/>
                <w:kern w:val="0"/>
                <w:sz w:val="22"/>
                <w:highlight w:val="none"/>
                <w:lang w:bidi="ar"/>
              </w:rPr>
              <w:t>25张，25张中</w:t>
            </w:r>
            <w:r>
              <w:rPr>
                <w:rFonts w:hint="eastAsia" w:ascii="宋体" w:hAnsi="宋体" w:cs="宋体"/>
                <w:color w:val="auto"/>
                <w:sz w:val="22"/>
                <w:szCs w:val="22"/>
                <w:highlight w:val="none"/>
              </w:rPr>
              <w:t>有效差评</w:t>
            </w:r>
            <w:r>
              <w:rPr>
                <w:rFonts w:hint="eastAsia" w:ascii="宋体" w:hAnsi="宋体" w:cs="宋体"/>
                <w:color w:val="auto"/>
                <w:kern w:val="0"/>
                <w:sz w:val="22"/>
                <w:highlight w:val="none"/>
                <w:lang w:bidi="ar"/>
              </w:rPr>
              <w:t>的为5张，则</w:t>
            </w:r>
            <w:r>
              <w:rPr>
                <w:rFonts w:hint="eastAsia" w:ascii="宋体" w:hAnsi="宋体" w:cs="宋体"/>
                <w:color w:val="auto"/>
                <w:sz w:val="22"/>
                <w:szCs w:val="22"/>
                <w:highlight w:val="none"/>
              </w:rPr>
              <w:t>当次</w:t>
            </w:r>
            <w:r>
              <w:rPr>
                <w:rFonts w:hint="eastAsia" w:ascii="宋体" w:hAnsi="宋体" w:cs="宋体"/>
                <w:color w:val="auto"/>
                <w:kern w:val="0"/>
                <w:sz w:val="22"/>
                <w:szCs w:val="22"/>
                <w:highlight w:val="none"/>
                <w:lang w:bidi="ar"/>
              </w:rPr>
              <w:t>满意</w:t>
            </w:r>
            <w:r>
              <w:rPr>
                <w:rFonts w:hint="eastAsia" w:ascii="宋体" w:hAnsi="宋体" w:cs="宋体"/>
                <w:color w:val="auto"/>
                <w:sz w:val="22"/>
                <w:szCs w:val="22"/>
                <w:highlight w:val="none"/>
              </w:rPr>
              <w:t>率</w:t>
            </w:r>
            <w:r>
              <w:rPr>
                <w:rFonts w:hint="eastAsia" w:ascii="宋体" w:hAnsi="宋体" w:cs="宋体"/>
                <w:color w:val="auto"/>
                <w:kern w:val="0"/>
                <w:sz w:val="22"/>
                <w:highlight w:val="none"/>
                <w:lang w:bidi="ar"/>
              </w:rPr>
              <w:t>=1-5/25=80%</w:t>
            </w:r>
            <w:r>
              <w:rPr>
                <w:rFonts w:hint="eastAsia" w:ascii="宋体" w:hAnsi="宋体" w:cs="宋体"/>
                <w:color w:val="auto"/>
                <w:kern w:val="0"/>
                <w:sz w:val="22"/>
                <w:szCs w:val="22"/>
                <w:highlight w:val="none"/>
                <w:lang w:bidi="ar"/>
              </w:rPr>
              <w:t>）</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完善职工疗休养工作台账制度（包括疗休养服务协议、参加职工名单、职工意见反馈表、行程单、每次疗休养服务小结），并交学校工会备案；疗休养线路规划的确认、调整的，必须上报学校工会审核同意确认。</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在温州市域内疗休养应选择温州市总工会或浙江省教育工会公布的疗休养基地（点），温州市域内疗休养教职工选择自驾游的，</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按照自驾游方式制定合理的线路方案、食宿安排和经费预算，并得到教职工认可后执行。</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温州市域内疗休养线路方案：必需在投标文件中制定“一次性路线：四夜五天”和“两次路线：一夜两天+两夜三天”两种方案，教职工如选择温州市域内疗休养线路的，在两种方案中任选。要求</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分别设计一条“五天、三天、二天”线路制定方案。</w:t>
            </w:r>
          </w:p>
          <w:p>
            <w:pPr>
              <w:numPr>
                <w:ilvl w:val="0"/>
                <w:numId w:val="2"/>
              </w:numPr>
              <w:autoSpaceDN w:val="0"/>
              <w:spacing w:line="46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温州市域、浙江省内疗休养合作城市、周边省市疗休养方案需按固定价格3000元/人为标准策划；对口援建城市疗休养方案按固定价格（</w:t>
            </w:r>
            <w:r>
              <w:rPr>
                <w:rFonts w:hint="eastAsia" w:ascii="宋体" w:hAnsi="宋体" w:cs="宋体"/>
                <w:color w:val="auto"/>
                <w:sz w:val="22"/>
                <w:szCs w:val="22"/>
                <w:highlight w:val="none"/>
                <w:lang w:val="en-US" w:eastAsia="zh-CN"/>
              </w:rPr>
              <w:t>价格待定</w:t>
            </w:r>
            <w:r>
              <w:rPr>
                <w:rFonts w:hint="eastAsia" w:ascii="宋体" w:hAnsi="宋体" w:cs="宋体"/>
                <w:color w:val="auto"/>
                <w:sz w:val="22"/>
                <w:szCs w:val="22"/>
                <w:highlight w:val="none"/>
              </w:rPr>
              <w:t>）的标准策划，超出固定价格3000元/人</w:t>
            </w:r>
            <w:r>
              <w:rPr>
                <w:rFonts w:hint="eastAsia" w:ascii="宋体" w:hAnsi="宋体" w:eastAsia="宋体" w:cs="宋体"/>
                <w:color w:val="auto"/>
                <w:sz w:val="22"/>
                <w:szCs w:val="22"/>
                <w:highlight w:val="none"/>
              </w:rPr>
              <w:t>部分费用由参加疗休养人员承担，</w:t>
            </w:r>
            <w:r>
              <w:rPr>
                <w:rFonts w:hint="eastAsia" w:ascii="宋体" w:hAnsi="宋体" w:eastAsia="宋体" w:cs="宋体"/>
                <w:color w:val="auto"/>
                <w:sz w:val="22"/>
                <w:szCs w:val="22"/>
                <w:highlight w:val="none"/>
                <w:lang w:eastAsia="zh-CN"/>
              </w:rPr>
              <w:t>中标人</w:t>
            </w:r>
            <w:r>
              <w:rPr>
                <w:rFonts w:hint="eastAsia" w:ascii="宋体" w:hAnsi="宋体" w:eastAsia="宋体" w:cs="宋体"/>
                <w:color w:val="auto"/>
                <w:sz w:val="22"/>
                <w:szCs w:val="22"/>
                <w:highlight w:val="none"/>
              </w:rPr>
              <w:t>自行向参加疗休养人员收取。</w:t>
            </w:r>
          </w:p>
          <w:p>
            <w:pPr>
              <w:numPr>
                <w:ilvl w:val="0"/>
                <w:numId w:val="2"/>
              </w:numPr>
              <w:autoSpaceDN w:val="0"/>
              <w:spacing w:line="4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其他要求：▲</w:t>
            </w:r>
            <w:r>
              <w:rPr>
                <w:rFonts w:hint="eastAsia" w:ascii="宋体" w:hAnsi="宋体" w:eastAsia="宋体" w:cs="宋体"/>
                <w:color w:val="auto"/>
                <w:sz w:val="22"/>
                <w:szCs w:val="22"/>
                <w:highlight w:val="none"/>
                <w:u w:val="single"/>
              </w:rPr>
              <w:t>所有疗休养必须按照省总工会《关于做好2024年全省职工疗休养工作的通知》</w:t>
            </w:r>
            <w:r>
              <w:rPr>
                <w:rFonts w:hint="eastAsia" w:ascii="宋体" w:hAnsi="宋体" w:eastAsia="宋体" w:cs="宋体"/>
                <w:color w:val="auto"/>
                <w:sz w:val="22"/>
                <w:szCs w:val="22"/>
                <w:highlight w:val="none"/>
                <w:u w:val="single"/>
                <w:lang w:eastAsia="zh-CN"/>
              </w:rPr>
              <w:t>和</w:t>
            </w:r>
            <w:r>
              <w:rPr>
                <w:rFonts w:hint="eastAsia" w:ascii="宋体" w:hAnsi="宋体" w:eastAsia="宋体" w:cs="宋体"/>
                <w:color w:val="auto"/>
                <w:sz w:val="22"/>
                <w:szCs w:val="22"/>
                <w:highlight w:val="none"/>
                <w:u w:val="single"/>
              </w:rPr>
              <w:t>温州市总工会《关于做好2024年全市职工疗休养工作的通知》（温总工办[202</w:t>
            </w:r>
            <w:r>
              <w:rPr>
                <w:rFonts w:hint="eastAsia" w:ascii="宋体" w:hAnsi="宋体" w:eastAsia="宋体" w:cs="宋体"/>
                <w:color w:val="auto"/>
                <w:sz w:val="22"/>
                <w:szCs w:val="22"/>
                <w:highlight w:val="none"/>
                <w:u w:val="single"/>
                <w:lang w:val="en-US" w:eastAsia="zh-CN"/>
              </w:rPr>
              <w:t>4</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val="en-US" w:eastAsia="zh-CN"/>
              </w:rPr>
              <w:t>4</w:t>
            </w:r>
            <w:r>
              <w:rPr>
                <w:rFonts w:hint="eastAsia" w:ascii="宋体" w:hAnsi="宋体" w:eastAsia="宋体" w:cs="宋体"/>
                <w:color w:val="auto"/>
                <w:sz w:val="22"/>
                <w:szCs w:val="22"/>
                <w:highlight w:val="none"/>
                <w:u w:val="single"/>
              </w:rPr>
              <w:t>号）文件的规定执行</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rPr>
              <w:t>服务期内有新文件要求的按新文件执行</w:t>
            </w:r>
            <w:r>
              <w:rPr>
                <w:rFonts w:hint="eastAsia" w:ascii="宋体" w:hAnsi="宋体" w:eastAsia="宋体" w:cs="宋体"/>
                <w:color w:val="auto"/>
                <w:sz w:val="22"/>
                <w:szCs w:val="22"/>
                <w:highlight w:val="none"/>
                <w:u w:val="single"/>
                <w:lang w:eastAsia="zh-CN"/>
              </w:rPr>
              <w:t>。</w:t>
            </w:r>
          </w:p>
          <w:p>
            <w:pPr>
              <w:numPr>
                <w:ilvl w:val="0"/>
                <w:numId w:val="2"/>
              </w:numPr>
              <w:autoSpaceDN w:val="0"/>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中标人</w:t>
            </w:r>
            <w:r>
              <w:rPr>
                <w:rFonts w:hint="eastAsia" w:ascii="宋体" w:hAnsi="宋体" w:cs="宋体"/>
                <w:color w:val="auto"/>
                <w:sz w:val="22"/>
                <w:szCs w:val="22"/>
                <w:highlight w:val="none"/>
              </w:rPr>
              <w:t>不得对温州肯恩大学202</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年度疗休养服务项目虚开发票，不得用发放自助餐券等方式变相套取疗休养费用。否则采购人有权解除合同，并取消其成交资格。</w:t>
            </w:r>
          </w:p>
          <w:p>
            <w:pPr>
              <w:autoSpaceDN w:val="0"/>
              <w:spacing w:line="460" w:lineRule="exact"/>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（四）</w:t>
            </w:r>
            <w:r>
              <w:rPr>
                <w:rFonts w:hint="eastAsia" w:ascii="宋体" w:hAnsi="宋体" w:cs="宋体"/>
                <w:color w:val="auto"/>
                <w:spacing w:val="-6"/>
                <w:sz w:val="22"/>
                <w:szCs w:val="22"/>
                <w:highlight w:val="none"/>
                <w:u w:val="single"/>
              </w:rPr>
              <w:t>▲</w:t>
            </w:r>
            <w:r>
              <w:rPr>
                <w:rFonts w:hint="eastAsia" w:ascii="宋体" w:hAnsi="宋体" w:cs="宋体"/>
                <w:color w:val="auto"/>
                <w:spacing w:val="-6"/>
                <w:sz w:val="22"/>
                <w:szCs w:val="22"/>
                <w:highlight w:val="none"/>
                <w:u w:val="single"/>
                <w:lang w:eastAsia="zh-CN"/>
              </w:rPr>
              <w:t>投标人</w:t>
            </w:r>
            <w:r>
              <w:rPr>
                <w:rFonts w:hint="eastAsia" w:ascii="宋体" w:hAnsi="宋体" w:cs="宋体"/>
                <w:color w:val="auto"/>
                <w:spacing w:val="-6"/>
                <w:sz w:val="22"/>
                <w:szCs w:val="22"/>
                <w:highlight w:val="none"/>
                <w:u w:val="single"/>
              </w:rPr>
              <w:t>必须对所投标项中的每条路线做出方案</w:t>
            </w:r>
            <w:r>
              <w:rPr>
                <w:rFonts w:hint="eastAsia" w:ascii="宋体" w:hAnsi="宋体" w:cs="宋体"/>
                <w:color w:val="auto"/>
                <w:sz w:val="22"/>
                <w:szCs w:val="22"/>
                <w:highlight w:val="none"/>
              </w:rPr>
              <w:t>。</w:t>
            </w:r>
            <w:bookmarkEnd w:id="0"/>
          </w:p>
          <w:p>
            <w:pPr>
              <w:spacing w:line="4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（五）附表</w:t>
            </w:r>
          </w:p>
          <w:p>
            <w:pPr>
              <w:spacing w:line="360" w:lineRule="exact"/>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附表一：</w:t>
            </w:r>
          </w:p>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满意度调查表</w:t>
            </w:r>
          </w:p>
          <w:tbl>
            <w:tblPr>
              <w:tblStyle w:val="10"/>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267"/>
              <w:gridCol w:w="1850"/>
              <w:gridCol w:w="193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疗养地点</w:t>
                  </w:r>
                </w:p>
              </w:tc>
              <w:tc>
                <w:tcPr>
                  <w:tcW w:w="6243" w:type="dxa"/>
                  <w:gridSpan w:val="4"/>
                  <w:noWrap w:val="0"/>
                  <w:vAlign w:val="center"/>
                </w:tcPr>
                <w:p>
                  <w:pPr>
                    <w:spacing w:line="360" w:lineRule="exact"/>
                    <w:ind w:firstLine="570"/>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疗养时间</w:t>
                  </w:r>
                </w:p>
              </w:tc>
              <w:tc>
                <w:tcPr>
                  <w:tcW w:w="6243" w:type="dxa"/>
                  <w:gridSpan w:val="4"/>
                  <w:noWrap w:val="0"/>
                  <w:vAlign w:val="center"/>
                </w:tcPr>
                <w:p>
                  <w:pPr>
                    <w:spacing w:line="360" w:lineRule="exact"/>
                    <w:ind w:firstLine="57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_____ 年___ 月  ____日至 ___ 月  ____日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填表人</w:t>
                  </w:r>
                </w:p>
              </w:tc>
              <w:tc>
                <w:tcPr>
                  <w:tcW w:w="6243" w:type="dxa"/>
                  <w:gridSpan w:val="4"/>
                  <w:noWrap w:val="0"/>
                  <w:vAlign w:val="center"/>
                </w:tcPr>
                <w:p>
                  <w:pPr>
                    <w:spacing w:line="360" w:lineRule="exact"/>
                    <w:ind w:firstLine="570"/>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满意度</w:t>
                  </w:r>
                </w:p>
              </w:tc>
              <w:tc>
                <w:tcPr>
                  <w:tcW w:w="1267"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好</w:t>
                  </w:r>
                </w:p>
              </w:tc>
              <w:tc>
                <w:tcPr>
                  <w:tcW w:w="185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较好</w:t>
                  </w:r>
                </w:p>
              </w:tc>
              <w:tc>
                <w:tcPr>
                  <w:tcW w:w="1933"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一般</w:t>
                  </w:r>
                </w:p>
              </w:tc>
              <w:tc>
                <w:tcPr>
                  <w:tcW w:w="1193"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64"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综合评价</w:t>
                  </w:r>
                </w:p>
              </w:tc>
              <w:tc>
                <w:tcPr>
                  <w:tcW w:w="1267" w:type="dxa"/>
                  <w:noWrap w:val="0"/>
                  <w:vAlign w:val="center"/>
                </w:tcPr>
                <w:p>
                  <w:pPr>
                    <w:spacing w:line="360" w:lineRule="exact"/>
                    <w:jc w:val="center"/>
                    <w:rPr>
                      <w:rFonts w:hint="eastAsia" w:ascii="宋体" w:hAnsi="宋体" w:cs="宋体"/>
                      <w:color w:val="auto"/>
                      <w:sz w:val="22"/>
                      <w:szCs w:val="22"/>
                      <w:highlight w:val="none"/>
                    </w:rPr>
                  </w:pPr>
                </w:p>
              </w:tc>
              <w:tc>
                <w:tcPr>
                  <w:tcW w:w="1850" w:type="dxa"/>
                  <w:noWrap w:val="0"/>
                  <w:vAlign w:val="center"/>
                </w:tcPr>
                <w:p>
                  <w:pPr>
                    <w:spacing w:line="360" w:lineRule="exact"/>
                    <w:ind w:firstLine="570"/>
                    <w:jc w:val="center"/>
                    <w:rPr>
                      <w:rFonts w:hint="eastAsia" w:ascii="宋体" w:hAnsi="宋体" w:cs="宋体"/>
                      <w:color w:val="auto"/>
                      <w:sz w:val="22"/>
                      <w:szCs w:val="22"/>
                      <w:highlight w:val="none"/>
                    </w:rPr>
                  </w:pPr>
                </w:p>
              </w:tc>
              <w:tc>
                <w:tcPr>
                  <w:tcW w:w="1933" w:type="dxa"/>
                  <w:noWrap w:val="0"/>
                  <w:vAlign w:val="center"/>
                </w:tcPr>
                <w:p>
                  <w:pPr>
                    <w:spacing w:line="360" w:lineRule="exact"/>
                    <w:ind w:firstLine="570"/>
                    <w:jc w:val="center"/>
                    <w:rPr>
                      <w:rFonts w:hint="eastAsia" w:ascii="宋体" w:hAnsi="宋体" w:cs="宋体"/>
                      <w:color w:val="auto"/>
                      <w:sz w:val="22"/>
                      <w:szCs w:val="22"/>
                      <w:highlight w:val="none"/>
                    </w:rPr>
                  </w:pPr>
                </w:p>
              </w:tc>
              <w:tc>
                <w:tcPr>
                  <w:tcW w:w="1193" w:type="dxa"/>
                  <w:noWrap w:val="0"/>
                  <w:vAlign w:val="center"/>
                </w:tcPr>
                <w:p>
                  <w:pPr>
                    <w:spacing w:line="360" w:lineRule="exact"/>
                    <w:ind w:firstLine="570"/>
                    <w:jc w:val="center"/>
                    <w:rPr>
                      <w:rFonts w:hint="eastAsia" w:ascii="宋体" w:hAnsi="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7" w:type="dxa"/>
                  <w:gridSpan w:val="5"/>
                  <w:noWrap w:val="0"/>
                  <w:vAlign w:val="top"/>
                </w:tcPr>
                <w:p>
                  <w:pPr>
                    <w:spacing w:line="360" w:lineRule="exact"/>
                    <w:ind w:firstLine="570"/>
                    <w:rPr>
                      <w:rFonts w:hint="eastAsia" w:ascii="宋体" w:hAnsi="宋体" w:cs="宋体"/>
                      <w:color w:val="auto"/>
                      <w:sz w:val="22"/>
                      <w:szCs w:val="22"/>
                      <w:highlight w:val="none"/>
                    </w:rPr>
                  </w:pPr>
                  <w:r>
                    <w:rPr>
                      <w:rFonts w:hint="eastAsia" w:ascii="宋体" w:hAnsi="宋体" w:cs="宋体"/>
                      <w:color w:val="auto"/>
                      <w:sz w:val="22"/>
                      <w:szCs w:val="22"/>
                      <w:highlight w:val="none"/>
                    </w:rPr>
                    <w:t>对本次疗休养的整体评价及建议</w:t>
                  </w:r>
                </w:p>
                <w:p>
                  <w:pPr>
                    <w:spacing w:line="360" w:lineRule="exact"/>
                    <w:ind w:firstLine="570"/>
                    <w:rPr>
                      <w:rFonts w:hint="eastAsia" w:ascii="宋体" w:hAnsi="宋体" w:cs="宋体"/>
                      <w:color w:val="auto"/>
                      <w:sz w:val="22"/>
                      <w:szCs w:val="22"/>
                      <w:highlight w:val="none"/>
                    </w:rPr>
                  </w:pPr>
                </w:p>
                <w:p>
                  <w:pPr>
                    <w:spacing w:line="360" w:lineRule="exact"/>
                    <w:rPr>
                      <w:rFonts w:hint="eastAsia" w:ascii="宋体" w:hAnsi="宋体" w:cs="宋体"/>
                      <w:color w:val="auto"/>
                      <w:sz w:val="22"/>
                      <w:szCs w:val="22"/>
                      <w:highlight w:val="none"/>
                    </w:rPr>
                  </w:pPr>
                </w:p>
                <w:p>
                  <w:pPr>
                    <w:spacing w:line="360" w:lineRule="exact"/>
                    <w:ind w:firstLine="570"/>
                    <w:rPr>
                      <w:rFonts w:hint="eastAsia" w:ascii="宋体" w:hAnsi="宋体" w:cs="宋体"/>
                      <w:color w:val="auto"/>
                      <w:sz w:val="22"/>
                      <w:szCs w:val="22"/>
                      <w:highlight w:val="none"/>
                    </w:rPr>
                  </w:pPr>
                </w:p>
              </w:tc>
            </w:tr>
          </w:tbl>
          <w:p>
            <w:pPr>
              <w:spacing w:line="360" w:lineRule="exact"/>
              <w:jc w:val="left"/>
              <w:rPr>
                <w:rFonts w:hint="eastAsia" w:ascii="宋体" w:hAnsi="宋体" w:cs="宋体"/>
                <w:b/>
                <w:color w:val="auto"/>
                <w:sz w:val="22"/>
                <w:szCs w:val="22"/>
                <w:highlight w:val="none"/>
              </w:rPr>
            </w:pPr>
            <w:r>
              <w:rPr>
                <w:rFonts w:hint="eastAsia" w:ascii="宋体" w:hAnsi="宋体" w:cs="宋体"/>
                <w:color w:val="auto"/>
                <w:sz w:val="22"/>
                <w:szCs w:val="22"/>
                <w:highlight w:val="none"/>
              </w:rPr>
              <w:t>附表二：</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4802"/>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noWrap w:val="0"/>
                  <w:vAlign w:val="center"/>
                </w:tcPr>
                <w:p>
                  <w:pPr>
                    <w:spacing w:line="36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序号</w:t>
                  </w:r>
                </w:p>
              </w:tc>
              <w:tc>
                <w:tcPr>
                  <w:tcW w:w="4802"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疗休养目的地</w:t>
                  </w:r>
                </w:p>
              </w:tc>
              <w:tc>
                <w:tcPr>
                  <w:tcW w:w="255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9"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一</w:t>
                  </w:r>
                </w:p>
              </w:tc>
              <w:tc>
                <w:tcPr>
                  <w:tcW w:w="4802" w:type="dxa"/>
                  <w:noWrap w:val="0"/>
                  <w:vAlign w:val="center"/>
                </w:tcPr>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温州市（5日）域线</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杭州疗休养5日</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嘉兴疗休养5日</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湖州疗休养5日</w:t>
                  </w:r>
                </w:p>
                <w:p>
                  <w:pPr>
                    <w:numPr>
                      <w:ilvl w:val="0"/>
                      <w:numId w:val="3"/>
                    </w:numPr>
                    <w:spacing w:line="360" w:lineRule="exact"/>
                    <w:rPr>
                      <w:rFonts w:hint="eastAsia"/>
                      <w:color w:val="auto"/>
                      <w:highlight w:val="none"/>
                    </w:rPr>
                  </w:pPr>
                  <w:r>
                    <w:rPr>
                      <w:rFonts w:hint="eastAsia" w:ascii="宋体" w:hAnsi="宋体" w:cs="宋体"/>
                      <w:color w:val="auto"/>
                      <w:sz w:val="22"/>
                      <w:highlight w:val="none"/>
                    </w:rPr>
                    <w:t>金华疗休养5日</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台州疗休养5日</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舟山疗休养动车5日</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江苏疗休养5日</w:t>
                  </w:r>
                </w:p>
                <w:p>
                  <w:pPr>
                    <w:numPr>
                      <w:ilvl w:val="0"/>
                      <w:numId w:val="3"/>
                    </w:numPr>
                    <w:spacing w:line="360" w:lineRule="exact"/>
                    <w:rPr>
                      <w:rFonts w:hint="eastAsia"/>
                      <w:color w:val="auto"/>
                      <w:highlight w:val="none"/>
                    </w:rPr>
                  </w:pPr>
                  <w:r>
                    <w:rPr>
                      <w:rFonts w:hint="eastAsia" w:ascii="宋体" w:hAnsi="宋体" w:cs="宋体"/>
                      <w:color w:val="auto"/>
                      <w:sz w:val="22"/>
                      <w:highlight w:val="none"/>
                    </w:rPr>
                    <w:t>福建疗休养5日</w:t>
                  </w:r>
                </w:p>
                <w:p>
                  <w:pPr>
                    <w:numPr>
                      <w:ilvl w:val="0"/>
                      <w:numId w:val="3"/>
                    </w:numPr>
                    <w:spacing w:line="360" w:lineRule="exact"/>
                    <w:rPr>
                      <w:rFonts w:hint="eastAsia" w:ascii="宋体" w:hAnsi="宋体" w:cs="宋体"/>
                      <w:color w:val="auto"/>
                      <w:sz w:val="22"/>
                      <w:highlight w:val="none"/>
                    </w:rPr>
                  </w:pPr>
                  <w:r>
                    <w:rPr>
                      <w:rFonts w:hint="eastAsia" w:ascii="宋体" w:hAnsi="宋体" w:eastAsia="宋体" w:cs="宋体"/>
                      <w:color w:val="auto"/>
                      <w:sz w:val="22"/>
                      <w:highlight w:val="none"/>
                      <w:lang w:val="en-US" w:eastAsia="zh-CN"/>
                    </w:rPr>
                    <w:t>上海疗休养5日</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安徽疗休养5日</w:t>
                  </w:r>
                </w:p>
                <w:p>
                  <w:pPr>
                    <w:numPr>
                      <w:ilvl w:val="0"/>
                      <w:numId w:val="3"/>
                    </w:numPr>
                    <w:spacing w:line="360" w:lineRule="exact"/>
                    <w:rPr>
                      <w:rFonts w:hint="eastAsia" w:ascii="宋体" w:hAnsi="宋体" w:eastAsia="宋体" w:cs="宋体"/>
                      <w:color w:val="auto"/>
                      <w:sz w:val="22"/>
                      <w:highlight w:val="none"/>
                    </w:rPr>
                  </w:pPr>
                  <w:r>
                    <w:rPr>
                      <w:rFonts w:hint="eastAsia" w:ascii="宋体" w:hAnsi="宋体" w:cs="宋体"/>
                      <w:color w:val="auto"/>
                      <w:sz w:val="22"/>
                      <w:highlight w:val="none"/>
                    </w:rPr>
                    <w:t>江西</w:t>
                  </w:r>
                  <w:r>
                    <w:rPr>
                      <w:rFonts w:hint="eastAsia" w:ascii="宋体" w:hAnsi="宋体" w:eastAsia="宋体" w:cs="宋体"/>
                      <w:color w:val="auto"/>
                      <w:sz w:val="22"/>
                      <w:highlight w:val="none"/>
                    </w:rPr>
                    <w:t>疗休养5日</w:t>
                  </w:r>
                </w:p>
                <w:p>
                  <w:pPr>
                    <w:numPr>
                      <w:ilvl w:val="0"/>
                      <w:numId w:val="3"/>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lang w:val="en-US" w:eastAsia="zh-CN"/>
                    </w:rPr>
                    <w:t>湖北恩施双飞6</w:t>
                  </w:r>
                  <w:r>
                    <w:rPr>
                      <w:rFonts w:hint="eastAsia" w:ascii="宋体" w:hAnsi="宋体" w:eastAsia="宋体" w:cs="宋体"/>
                      <w:color w:val="auto"/>
                      <w:sz w:val="22"/>
                      <w:highlight w:val="none"/>
                    </w:rPr>
                    <w:t xml:space="preserve">日 </w:t>
                  </w:r>
                </w:p>
                <w:p>
                  <w:pPr>
                    <w:numPr>
                      <w:ilvl w:val="0"/>
                      <w:numId w:val="3"/>
                    </w:num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 xml:space="preserve">四川阿坝双飞疗休养6日   </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 xml:space="preserve">重庆双飞疗休养6日   </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吉林双飞疗休养6日</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rPr>
                    <w:t>青海双飞疗休养6日</w:t>
                  </w:r>
                </w:p>
                <w:p>
                  <w:pPr>
                    <w:numPr>
                      <w:ilvl w:val="0"/>
                      <w:numId w:val="3"/>
                    </w:numPr>
                    <w:spacing w:line="360" w:lineRule="exact"/>
                    <w:rPr>
                      <w:rFonts w:hint="eastAsia" w:ascii="宋体" w:hAnsi="宋体" w:cs="宋体"/>
                      <w:color w:val="auto"/>
                      <w:sz w:val="22"/>
                      <w:highlight w:val="none"/>
                    </w:rPr>
                  </w:pPr>
                  <w:r>
                    <w:rPr>
                      <w:rFonts w:hint="eastAsia" w:ascii="宋体" w:hAnsi="宋体" w:cs="宋体"/>
                      <w:color w:val="auto"/>
                      <w:sz w:val="22"/>
                      <w:highlight w:val="none"/>
                      <w:u w:val="none"/>
                    </w:rPr>
                    <w:t>新疆三飞</w:t>
                  </w:r>
                  <w:r>
                    <w:rPr>
                      <w:rFonts w:hint="eastAsia" w:ascii="宋体" w:hAnsi="宋体" w:cs="宋体"/>
                      <w:color w:val="auto"/>
                      <w:sz w:val="22"/>
                      <w:highlight w:val="none"/>
                    </w:rPr>
                    <w:t>疗休养</w:t>
                  </w:r>
                  <w:r>
                    <w:rPr>
                      <w:rFonts w:hint="eastAsia" w:ascii="宋体" w:hAnsi="宋体" w:cs="宋体"/>
                      <w:color w:val="auto"/>
                      <w:sz w:val="22"/>
                      <w:highlight w:val="none"/>
                      <w:u w:val="none"/>
                    </w:rPr>
                    <w:t>8日</w:t>
                  </w:r>
                </w:p>
              </w:tc>
              <w:tc>
                <w:tcPr>
                  <w:tcW w:w="2550" w:type="dxa"/>
                  <w:noWrap w:val="0"/>
                  <w:vAlign w:val="center"/>
                </w:tcPr>
                <w:p>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highlight w:val="none"/>
                      <w:u w:val="single"/>
                    </w:rPr>
                    <w:t>本项目所有标项均为固定报价（温州市域、浙江省内疗休养合作城市、周边省市疗休养方案需按固定价格3000元/人为标准策划；对口援建城市疗休养方案按固定价格（</w:t>
                  </w:r>
                  <w:r>
                    <w:rPr>
                      <w:rFonts w:hint="eastAsia" w:ascii="宋体" w:hAnsi="宋体" w:eastAsia="宋体" w:cs="宋体"/>
                      <w:color w:val="auto"/>
                      <w:sz w:val="22"/>
                      <w:szCs w:val="22"/>
                      <w:highlight w:val="none"/>
                      <w:u w:val="single"/>
                      <w:lang w:val="en-US" w:eastAsia="zh-CN"/>
                    </w:rPr>
                    <w:t>湖北6天双飞4700元/人，</w:t>
                  </w:r>
                  <w:r>
                    <w:rPr>
                      <w:rFonts w:hint="eastAsia" w:ascii="宋体" w:hAnsi="宋体" w:eastAsia="宋体" w:cs="宋体"/>
                      <w:color w:val="auto"/>
                      <w:sz w:val="22"/>
                      <w:highlight w:val="none"/>
                      <w:u w:val="single"/>
                    </w:rPr>
                    <w:t>四川</w:t>
                  </w:r>
                  <w:r>
                    <w:rPr>
                      <w:rFonts w:hint="eastAsia" w:ascii="宋体" w:hAnsi="宋体" w:eastAsia="宋体" w:cs="宋体"/>
                      <w:color w:val="auto"/>
                      <w:sz w:val="22"/>
                      <w:szCs w:val="22"/>
                      <w:highlight w:val="none"/>
                      <w:u w:val="single"/>
                      <w:lang w:val="en-US" w:eastAsia="zh-CN"/>
                    </w:rPr>
                    <w:t>6天双飞5800</w:t>
                  </w:r>
                  <w:r>
                    <w:rPr>
                      <w:rFonts w:hint="eastAsia" w:ascii="宋体" w:hAnsi="宋体" w:eastAsia="宋体" w:cs="宋体"/>
                      <w:color w:val="auto"/>
                      <w:sz w:val="22"/>
                      <w:szCs w:val="22"/>
                      <w:highlight w:val="none"/>
                      <w:u w:val="single"/>
                    </w:rPr>
                    <w:t>元/</w:t>
                  </w:r>
                  <w:r>
                    <w:rPr>
                      <w:rFonts w:hint="eastAsia" w:ascii="宋体" w:hAnsi="宋体" w:eastAsia="宋体" w:cs="宋体"/>
                      <w:color w:val="auto"/>
                      <w:sz w:val="22"/>
                      <w:szCs w:val="22"/>
                      <w:highlight w:val="none"/>
                      <w:u w:val="single"/>
                      <w:lang w:val="en-US" w:eastAsia="zh-CN"/>
                    </w:rPr>
                    <w:t>人，重庆6天双飞4880元/人，</w:t>
                  </w:r>
                  <w:r>
                    <w:rPr>
                      <w:rFonts w:hint="eastAsia" w:ascii="宋体" w:hAnsi="宋体" w:cs="宋体"/>
                      <w:color w:val="auto"/>
                      <w:sz w:val="22"/>
                      <w:highlight w:val="none"/>
                      <w:u w:val="single"/>
                      <w:lang w:eastAsia="zh-CN"/>
                    </w:rPr>
                    <w:t>吉林6天双飞5000元/人</w:t>
                  </w:r>
                  <w:r>
                    <w:rPr>
                      <w:rFonts w:hint="eastAsia" w:ascii="宋体" w:hAnsi="宋体" w:eastAsia="宋体" w:cs="宋体"/>
                      <w:color w:val="auto"/>
                      <w:sz w:val="22"/>
                      <w:szCs w:val="22"/>
                      <w:highlight w:val="none"/>
                      <w:u w:val="single"/>
                      <w:lang w:val="en-US" w:eastAsia="zh-CN"/>
                    </w:rPr>
                    <w:t>，</w:t>
                  </w:r>
                  <w:r>
                    <w:rPr>
                      <w:rFonts w:hint="eastAsia" w:ascii="宋体" w:hAnsi="宋体" w:cs="宋体"/>
                      <w:color w:val="auto"/>
                      <w:sz w:val="22"/>
                      <w:highlight w:val="none"/>
                      <w:u w:val="single"/>
                      <w:lang w:eastAsia="zh-CN"/>
                    </w:rPr>
                    <w:t>青海</w:t>
                  </w:r>
                  <w:r>
                    <w:rPr>
                      <w:rFonts w:hint="eastAsia" w:ascii="宋体" w:hAnsi="宋体" w:eastAsia="宋体" w:cs="宋体"/>
                      <w:color w:val="auto"/>
                      <w:sz w:val="22"/>
                      <w:szCs w:val="22"/>
                      <w:highlight w:val="none"/>
                      <w:u w:val="single"/>
                      <w:lang w:val="en-US" w:eastAsia="zh-CN"/>
                    </w:rPr>
                    <w:t>6天双飞6500</w:t>
                  </w:r>
                  <w:r>
                    <w:rPr>
                      <w:rFonts w:hint="eastAsia" w:ascii="宋体" w:hAnsi="宋体" w:eastAsia="宋体" w:cs="宋体"/>
                      <w:color w:val="auto"/>
                      <w:sz w:val="22"/>
                      <w:szCs w:val="22"/>
                      <w:highlight w:val="none"/>
                      <w:u w:val="single"/>
                    </w:rPr>
                    <w:t>元/</w:t>
                  </w:r>
                  <w:r>
                    <w:rPr>
                      <w:rFonts w:hint="eastAsia" w:ascii="宋体" w:hAnsi="宋体" w:eastAsia="宋体" w:cs="宋体"/>
                      <w:color w:val="auto"/>
                      <w:sz w:val="22"/>
                      <w:szCs w:val="22"/>
                      <w:highlight w:val="none"/>
                      <w:u w:val="single"/>
                      <w:lang w:val="en-US" w:eastAsia="zh-CN"/>
                    </w:rPr>
                    <w:t>人，</w:t>
                  </w:r>
                  <w:r>
                    <w:rPr>
                      <w:rFonts w:hint="eastAsia" w:ascii="宋体" w:hAnsi="宋体" w:cs="宋体"/>
                      <w:color w:val="auto"/>
                      <w:sz w:val="22"/>
                      <w:highlight w:val="none"/>
                      <w:u w:val="single"/>
                      <w:lang w:eastAsia="zh-CN"/>
                    </w:rPr>
                    <w:t>新疆8天三飞8500元/人</w:t>
                  </w:r>
                  <w:r>
                    <w:rPr>
                      <w:rFonts w:hint="eastAsia" w:ascii="宋体" w:hAnsi="宋体" w:cs="宋体"/>
                      <w:color w:val="auto"/>
                      <w:sz w:val="22"/>
                      <w:highlight w:val="none"/>
                      <w:u w:val="single"/>
                    </w:rPr>
                    <w:t>）的标准策划，超出固定价格3000元/人部分费用由参加疗休养人员承担，</w:t>
                  </w:r>
                  <w:r>
                    <w:rPr>
                      <w:rFonts w:hint="eastAsia" w:ascii="宋体" w:hAnsi="宋体" w:cs="宋体"/>
                      <w:color w:val="auto"/>
                      <w:sz w:val="22"/>
                      <w:highlight w:val="none"/>
                      <w:u w:val="single"/>
                      <w:lang w:eastAsia="zh-CN"/>
                    </w:rPr>
                    <w:t>中标人</w:t>
                  </w:r>
                  <w:r>
                    <w:rPr>
                      <w:rFonts w:hint="eastAsia" w:ascii="宋体" w:hAnsi="宋体" w:cs="宋体"/>
                      <w:color w:val="auto"/>
                      <w:sz w:val="22"/>
                      <w:highlight w:val="none"/>
                      <w:u w:val="single"/>
                    </w:rPr>
                    <w:t>自行向参加疗休养人员收取。）</w:t>
                  </w:r>
                </w:p>
              </w:tc>
            </w:tr>
          </w:tbl>
          <w:p>
            <w:pPr>
              <w:pStyle w:val="9"/>
              <w:rPr>
                <w:rFonts w:hint="eastAsia"/>
                <w:color w:val="auto"/>
                <w:highlight w:val="none"/>
                <w:vertAlign w:val="baseline"/>
              </w:rPr>
            </w:pPr>
          </w:p>
        </w:tc>
      </w:tr>
    </w:tbl>
    <w:p>
      <w:pPr>
        <w:pStyle w:val="9"/>
        <w:rPr>
          <w:rFonts w:hint="eastAsia"/>
          <w:color w:val="auto"/>
          <w:highlight w:val="none"/>
        </w:rPr>
      </w:pPr>
    </w:p>
    <w:p>
      <w:pPr>
        <w:snapToGrid w:val="0"/>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ascii="宋体" w:hAnsi="宋体" w:cs="宋体"/>
          <w:b/>
          <w:color w:val="auto"/>
          <w:sz w:val="3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pPr>
        <w:snapToGrid w:val="0"/>
        <w:spacing w:line="400" w:lineRule="exact"/>
        <w:jc w:val="center"/>
        <w:rPr>
          <w:rFonts w:hint="eastAsia" w:ascii="宋体" w:hAnsi="宋体" w:cs="宋体"/>
          <w:b/>
          <w:color w:val="auto"/>
          <w:sz w:val="32"/>
          <w:highlight w:val="none"/>
        </w:rPr>
      </w:pPr>
    </w:p>
    <w:p>
      <w:pPr>
        <w:snapToGrid w:val="0"/>
        <w:spacing w:line="400" w:lineRule="exact"/>
        <w:jc w:val="center"/>
        <w:outlineLvl w:val="0"/>
        <w:rPr>
          <w:rFonts w:hint="eastAsia" w:ascii="宋体" w:hAnsi="宋体" w:cs="宋体"/>
          <w:b/>
          <w:color w:val="auto"/>
          <w:sz w:val="32"/>
          <w:highlight w:val="none"/>
        </w:rPr>
      </w:pPr>
    </w:p>
    <w:p>
      <w:pPr>
        <w:snapToGrid w:val="0"/>
        <w:spacing w:line="400" w:lineRule="exact"/>
        <w:jc w:val="center"/>
        <w:outlineLvl w:val="0"/>
        <w:rPr>
          <w:rFonts w:hint="eastAsia" w:ascii="宋体" w:hAnsi="宋体" w:cs="宋体"/>
          <w:b/>
          <w:color w:val="auto"/>
          <w:sz w:val="32"/>
          <w:highlight w:val="none"/>
        </w:rPr>
      </w:pPr>
    </w:p>
    <w:p>
      <w:pPr>
        <w:snapToGrid w:val="0"/>
        <w:spacing w:line="400" w:lineRule="exact"/>
        <w:jc w:val="center"/>
        <w:outlineLvl w:val="0"/>
        <w:rPr>
          <w:rFonts w:hint="eastAsia" w:ascii="宋体" w:hAnsi="宋体" w:cs="宋体"/>
          <w:b/>
          <w:color w:val="auto"/>
          <w:sz w:val="32"/>
          <w:highlight w:val="none"/>
        </w:rPr>
      </w:pPr>
    </w:p>
    <w:p>
      <w:pPr>
        <w:pStyle w:val="6"/>
        <w:rPr>
          <w:rFonts w:hint="eastAsia" w:ascii="宋体" w:hAnsi="宋体" w:cs="宋体"/>
          <w:b/>
          <w:color w:val="auto"/>
          <w:sz w:val="32"/>
          <w:highlight w:val="none"/>
        </w:rPr>
      </w:pPr>
    </w:p>
    <w:p>
      <w:pPr>
        <w:pStyle w:val="6"/>
        <w:rPr>
          <w:rFonts w:hint="eastAsia" w:ascii="宋体" w:hAnsi="宋体" w:cs="宋体"/>
          <w:b/>
          <w:color w:val="auto"/>
          <w:sz w:val="32"/>
          <w:highlight w:val="none"/>
        </w:rPr>
      </w:pPr>
    </w:p>
    <w:p>
      <w:pPr>
        <w:pStyle w:val="6"/>
        <w:rPr>
          <w:rFonts w:hint="eastAsia" w:ascii="宋体" w:hAnsi="宋体" w:cs="宋体"/>
          <w:b/>
          <w:color w:val="auto"/>
          <w:sz w:val="32"/>
          <w:highlight w:val="none"/>
        </w:rPr>
      </w:pPr>
    </w:p>
    <w:p>
      <w:pPr>
        <w:pStyle w:val="6"/>
        <w:rPr>
          <w:rFonts w:hint="eastAsia" w:ascii="宋体" w:hAnsi="宋体" w:cs="宋体"/>
          <w:b/>
          <w:color w:val="auto"/>
          <w:sz w:val="32"/>
          <w:highlight w:val="none"/>
        </w:rPr>
      </w:pPr>
    </w:p>
    <w:p>
      <w:pPr>
        <w:pStyle w:val="6"/>
        <w:rPr>
          <w:rFonts w:hint="eastAsia" w:ascii="宋体" w:hAnsi="宋体" w:cs="宋体"/>
          <w:b/>
          <w:color w:val="auto"/>
          <w:sz w:val="32"/>
          <w:highlight w:val="none"/>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B26F34"/>
    <w:multiLevelType w:val="singleLevel"/>
    <w:tmpl w:val="84B26F34"/>
    <w:lvl w:ilvl="0" w:tentative="0">
      <w:start w:val="1"/>
      <w:numFmt w:val="decimalEnclosedCircleChinese"/>
      <w:suff w:val="nothing"/>
      <w:lvlText w:val="%1　"/>
      <w:lvlJc w:val="left"/>
      <w:pPr>
        <w:ind w:left="0" w:firstLine="400"/>
      </w:pPr>
      <w:rPr>
        <w:rFonts w:hint="eastAsia"/>
      </w:rPr>
    </w:lvl>
  </w:abstractNum>
  <w:abstractNum w:abstractNumId="1">
    <w:nsid w:val="4A77707E"/>
    <w:multiLevelType w:val="singleLevel"/>
    <w:tmpl w:val="4A77707E"/>
    <w:lvl w:ilvl="0" w:tentative="0">
      <w:start w:val="1"/>
      <w:numFmt w:val="decimal"/>
      <w:lvlText w:val="%1."/>
      <w:lvlJc w:val="left"/>
      <w:pPr>
        <w:tabs>
          <w:tab w:val="left" w:pos="312"/>
        </w:tabs>
      </w:pPr>
    </w:lvl>
  </w:abstractNum>
  <w:abstractNum w:abstractNumId="2">
    <w:nsid w:val="6AAC1384"/>
    <w:multiLevelType w:val="singleLevel"/>
    <w:tmpl w:val="6AAC1384"/>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15DA7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Body Text Indent"/>
    <w:basedOn w:val="1"/>
    <w:next w:val="1"/>
    <w:qFormat/>
    <w:uiPriority w:val="0"/>
    <w:pPr>
      <w:ind w:left="480" w:hanging="480" w:hangingChars="200"/>
    </w:pPr>
    <w:rPr>
      <w:sz w:val="24"/>
    </w:rPr>
  </w:style>
  <w:style w:type="paragraph" w:styleId="6">
    <w:name w:val="Block Text"/>
    <w:basedOn w:val="1"/>
    <w:qFormat/>
    <w:uiPriority w:val="0"/>
    <w:pPr>
      <w:spacing w:after="120"/>
      <w:ind w:left="1440" w:leftChars="700" w:right="1440" w:rightChars="700"/>
    </w:p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w:basedOn w:val="4"/>
    <w:next w:val="1"/>
    <w:qFormat/>
    <w:uiPriority w:val="0"/>
    <w:pPr>
      <w:autoSpaceDE w:val="0"/>
      <w:autoSpaceDN w:val="0"/>
      <w:adjustRightInd w:val="0"/>
      <w:ind w:firstLine="420" w:firstLineChars="100"/>
      <w:jc w:val="left"/>
    </w:pPr>
    <w:rPr>
      <w:rFonts w:ascii="仿宋_GB2312"/>
      <w:b/>
      <w:kern w:val="0"/>
      <w:sz w:val="32"/>
      <w:szCs w:val="32"/>
    </w:rPr>
  </w:style>
  <w:style w:type="paragraph" w:styleId="9">
    <w:name w:val="Body Text First Indent 2"/>
    <w:basedOn w:val="5"/>
    <w:next w:val="8"/>
    <w:unhideWhenUsed/>
    <w:qFormat/>
    <w:uiPriority w:val="99"/>
    <w:pPr>
      <w:ind w:firstLine="42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3">
    <w:name w:val="正文文字"/>
    <w:basedOn w:val="1"/>
    <w:autoRedefine/>
    <w:qFormat/>
    <w:uiPriority w:val="0"/>
    <w:pPr>
      <w:widowControl/>
      <w:spacing w:line="952" w:lineRule="atLeast"/>
      <w:ind w:firstLine="419"/>
    </w:pPr>
    <w:rPr>
      <w:b/>
      <w:color w:val="000000"/>
      <w:sz w:val="44"/>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2024-05-09T05:49:08Z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27F5795735294EF8AE91BF0CF0BFEDCC_12</vt:lpwstr>
  </property>
</Properties>
</file>