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00" w:lineRule="exact"/>
        <w:jc w:val="center"/>
        <w:rPr>
          <w:rFonts w:hint="eastAsia" w:ascii="宋体" w:hAnsi="宋体" w:cs="宋体"/>
          <w:b/>
          <w:color w:val="auto"/>
          <w:sz w:val="32"/>
          <w:highlight w:val="none"/>
        </w:rPr>
      </w:pPr>
      <w:r>
        <w:rPr>
          <w:rFonts w:hint="eastAsia" w:ascii="宋体" w:hAnsi="宋体" w:cs="宋体"/>
          <w:b/>
          <w:color w:val="auto"/>
          <w:sz w:val="32"/>
          <w:highlight w:val="none"/>
        </w:rPr>
        <w:t>采购需求</w:t>
      </w:r>
    </w:p>
    <w:p>
      <w:pPr>
        <w:pStyle w:val="5"/>
        <w:snapToGrid w:val="0"/>
        <w:spacing w:line="360" w:lineRule="exact"/>
        <w:rPr>
          <w:rFonts w:hint="eastAsia" w:hAnsi="宋体" w:cs="宋体"/>
          <w:b/>
          <w:bCs/>
          <w:color w:val="auto"/>
          <w:sz w:val="22"/>
          <w:highlight w:val="none"/>
        </w:rPr>
      </w:pPr>
      <w:r>
        <w:rPr>
          <w:rFonts w:hint="eastAsia" w:hAnsi="宋体" w:cs="宋体"/>
          <w:b/>
          <w:bCs/>
          <w:color w:val="auto"/>
          <w:sz w:val="22"/>
          <w:highlight w:val="none"/>
        </w:rPr>
        <w:t>一.采购清单</w:t>
      </w:r>
    </w:p>
    <w:tbl>
      <w:tblPr>
        <w:tblStyle w:val="7"/>
        <w:tblW w:w="9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3400"/>
        <w:gridCol w:w="1612"/>
        <w:gridCol w:w="1863"/>
        <w:gridCol w:w="1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4" w:type="dxa"/>
            <w:noWrap w:val="0"/>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序号</w:t>
            </w:r>
          </w:p>
        </w:tc>
        <w:tc>
          <w:tcPr>
            <w:tcW w:w="3400" w:type="dxa"/>
            <w:noWrap w:val="0"/>
            <w:vAlign w:val="center"/>
          </w:tcPr>
          <w:p>
            <w:pPr>
              <w:spacing w:line="360" w:lineRule="exact"/>
              <w:jc w:val="center"/>
              <w:rPr>
                <w:rFonts w:ascii="宋体" w:hAnsi="宋体" w:cs="宋体"/>
                <w:color w:val="auto"/>
                <w:kern w:val="0"/>
                <w:sz w:val="22"/>
                <w:highlight w:val="none"/>
                <w:lang w:val="zh-CN"/>
              </w:rPr>
            </w:pPr>
            <w:r>
              <w:rPr>
                <w:rFonts w:hint="eastAsia" w:ascii="宋体" w:hAnsi="宋体" w:cs="宋体"/>
                <w:color w:val="auto"/>
                <w:sz w:val="22"/>
                <w:highlight w:val="none"/>
              </w:rPr>
              <w:t>项目内容</w:t>
            </w:r>
          </w:p>
        </w:tc>
        <w:tc>
          <w:tcPr>
            <w:tcW w:w="1612" w:type="dxa"/>
            <w:noWrap w:val="0"/>
            <w:vAlign w:val="center"/>
          </w:tcPr>
          <w:p>
            <w:pPr>
              <w:spacing w:line="370" w:lineRule="exact"/>
              <w:jc w:val="center"/>
              <w:rPr>
                <w:rFonts w:hint="eastAsia" w:ascii="宋体" w:hAnsi="宋体" w:cs="宋体"/>
                <w:color w:val="auto"/>
                <w:kern w:val="0"/>
                <w:sz w:val="22"/>
                <w:highlight w:val="none"/>
                <w:lang w:val="zh-CN"/>
              </w:rPr>
            </w:pPr>
            <w:r>
              <w:rPr>
                <w:rFonts w:hint="eastAsia" w:ascii="宋体" w:hAnsi="宋体" w:cs="宋体"/>
                <w:color w:val="auto"/>
                <w:sz w:val="22"/>
                <w:highlight w:val="none"/>
              </w:rPr>
              <w:t>数量</w:t>
            </w:r>
          </w:p>
        </w:tc>
        <w:tc>
          <w:tcPr>
            <w:tcW w:w="1863" w:type="dxa"/>
            <w:noWrap w:val="0"/>
            <w:vAlign w:val="center"/>
          </w:tcPr>
          <w:p>
            <w:pPr>
              <w:spacing w:line="370" w:lineRule="exact"/>
              <w:jc w:val="center"/>
              <w:rPr>
                <w:rFonts w:hint="eastAsia" w:ascii="宋体" w:hAnsi="宋体" w:cs="宋体"/>
                <w:color w:val="auto"/>
                <w:kern w:val="0"/>
                <w:sz w:val="22"/>
                <w:highlight w:val="none"/>
                <w:lang w:val="zh-CN"/>
              </w:rPr>
            </w:pPr>
            <w:r>
              <w:rPr>
                <w:rFonts w:hint="eastAsia" w:ascii="宋体" w:hAnsi="宋体" w:cs="宋体"/>
                <w:color w:val="auto"/>
                <w:sz w:val="22"/>
                <w:highlight w:val="none"/>
              </w:rPr>
              <w:t>预算金额（元）</w:t>
            </w:r>
          </w:p>
        </w:tc>
        <w:tc>
          <w:tcPr>
            <w:tcW w:w="1232" w:type="dxa"/>
            <w:noWrap w:val="0"/>
            <w:vAlign w:val="center"/>
          </w:tcPr>
          <w:p>
            <w:pPr>
              <w:spacing w:line="370" w:lineRule="exact"/>
              <w:jc w:val="center"/>
              <w:rPr>
                <w:rFonts w:hint="eastAsia" w:ascii="宋体" w:hAnsi="宋体" w:cs="宋体"/>
                <w:color w:val="auto"/>
                <w:sz w:val="22"/>
                <w:highlight w:val="none"/>
                <w:u w:val="none" w:color="000000"/>
                <w:lang w:val="zh-CN"/>
              </w:rPr>
            </w:pPr>
            <w:r>
              <w:rPr>
                <w:rFonts w:hint="eastAsia" w:ascii="宋体" w:hAnsi="宋体" w:cs="宋体"/>
                <w:color w:val="auto"/>
                <w:sz w:val="22"/>
                <w:highlight w:val="none"/>
                <w:u w:val="none" w:color="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4" w:type="dxa"/>
            <w:noWrap w:val="0"/>
            <w:vAlign w:val="center"/>
          </w:tcPr>
          <w:p>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w:t>
            </w:r>
          </w:p>
        </w:tc>
        <w:tc>
          <w:tcPr>
            <w:tcW w:w="3400" w:type="dxa"/>
            <w:noWrap w:val="0"/>
            <w:vAlign w:val="center"/>
          </w:tcPr>
          <w:p>
            <w:pPr>
              <w:pStyle w:val="9"/>
              <w:widowControl w:val="0"/>
              <w:snapToGrid w:val="0"/>
              <w:spacing w:line="360" w:lineRule="exact"/>
              <w:ind w:firstLine="0"/>
              <w:jc w:val="center"/>
              <w:rPr>
                <w:rFonts w:hint="eastAsia" w:ascii="宋体" w:hAnsi="宋体" w:cs="宋体"/>
                <w:b w:val="0"/>
                <w:color w:val="auto"/>
                <w:sz w:val="22"/>
                <w:highlight w:val="none"/>
              </w:rPr>
            </w:pPr>
            <w:r>
              <w:rPr>
                <w:rFonts w:hint="eastAsia" w:ascii="宋体" w:hAnsi="宋体" w:cs="宋体"/>
                <w:b w:val="0"/>
                <w:color w:val="auto"/>
                <w:sz w:val="22"/>
                <w:highlight w:val="none"/>
              </w:rPr>
              <w:t>温州肯恩大学科研创新管理平台系统采购</w:t>
            </w:r>
          </w:p>
        </w:tc>
        <w:tc>
          <w:tcPr>
            <w:tcW w:w="1612" w:type="dxa"/>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sz w:val="22"/>
                <w:highlight w:val="none"/>
              </w:rPr>
              <w:t>1套</w:t>
            </w:r>
          </w:p>
        </w:tc>
        <w:tc>
          <w:tcPr>
            <w:tcW w:w="1863" w:type="dxa"/>
            <w:noWrap w:val="0"/>
            <w:vAlign w:val="center"/>
          </w:tcPr>
          <w:p>
            <w:pPr>
              <w:widowControl/>
              <w:jc w:val="center"/>
              <w:textAlignment w:val="center"/>
              <w:rPr>
                <w:rFonts w:hint="eastAsia" w:ascii="宋体" w:hAnsi="宋体" w:cs="宋体"/>
                <w:color w:val="auto"/>
                <w:sz w:val="22"/>
                <w:highlight w:val="none"/>
              </w:rPr>
            </w:pPr>
            <w:r>
              <w:rPr>
                <w:rFonts w:hint="eastAsia" w:ascii="宋体" w:hAnsi="宋体" w:cs="宋体"/>
                <w:color w:val="auto"/>
                <w:sz w:val="22"/>
                <w:highlight w:val="none"/>
              </w:rPr>
              <w:t>630000</w:t>
            </w:r>
          </w:p>
        </w:tc>
        <w:tc>
          <w:tcPr>
            <w:tcW w:w="1232" w:type="dxa"/>
            <w:noWrap w:val="0"/>
            <w:vAlign w:val="center"/>
          </w:tcPr>
          <w:p>
            <w:pPr>
              <w:widowControl/>
              <w:jc w:val="center"/>
              <w:textAlignment w:val="center"/>
              <w:rPr>
                <w:rFonts w:hint="eastAsia" w:ascii="宋体" w:hAnsi="宋体" w:cs="宋体"/>
                <w:color w:val="auto"/>
                <w:sz w:val="22"/>
                <w:highlight w:val="none"/>
                <w:u w:val="none" w:color="000000"/>
              </w:rPr>
            </w:pPr>
          </w:p>
        </w:tc>
      </w:tr>
    </w:tbl>
    <w:p>
      <w:pPr>
        <w:snapToGrid w:val="0"/>
        <w:spacing w:line="360" w:lineRule="exact"/>
        <w:rPr>
          <w:rFonts w:hint="eastAsia" w:ascii="宋体" w:hAnsi="宋体" w:cs="宋体"/>
          <w:b/>
          <w:bCs/>
          <w:color w:val="auto"/>
          <w:spacing w:val="-6"/>
          <w:sz w:val="22"/>
          <w:highlight w:val="none"/>
        </w:rPr>
      </w:pPr>
      <w:r>
        <w:rPr>
          <w:rFonts w:hint="eastAsia" w:ascii="宋体" w:hAnsi="宋体" w:cs="宋体"/>
          <w:b/>
          <w:bCs/>
          <w:color w:val="auto"/>
          <w:sz w:val="22"/>
          <w:highlight w:val="none"/>
        </w:rPr>
        <w:t>二.</w:t>
      </w:r>
      <w:r>
        <w:rPr>
          <w:rFonts w:hint="eastAsia" w:ascii="宋体" w:hAnsi="宋体" w:cs="宋体"/>
          <w:b/>
          <w:bCs/>
          <w:color w:val="auto"/>
          <w:spacing w:val="-6"/>
          <w:sz w:val="22"/>
          <w:highlight w:val="none"/>
        </w:rPr>
        <w:t>商务要求（技术要求里另有注明的以技术要求为准）</w:t>
      </w:r>
    </w:p>
    <w:tbl>
      <w:tblPr>
        <w:tblStyle w:val="7"/>
        <w:tblW w:w="9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2"/>
        <w:gridCol w:w="7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92" w:type="dxa"/>
            <w:noWrap w:val="0"/>
            <w:vAlign w:val="center"/>
          </w:tcPr>
          <w:p>
            <w:pPr>
              <w:spacing w:line="400" w:lineRule="exact"/>
              <w:jc w:val="center"/>
              <w:rPr>
                <w:rFonts w:ascii="宋体" w:hAnsi="宋体" w:cs="宋体"/>
                <w:b/>
                <w:bCs/>
                <w:color w:val="auto"/>
                <w:sz w:val="22"/>
                <w:highlight w:val="none"/>
              </w:rPr>
            </w:pPr>
            <w:r>
              <w:rPr>
                <w:rFonts w:hint="eastAsia" w:ascii="宋体" w:hAnsi="宋体" w:cs="宋体"/>
                <w:b/>
                <w:bCs/>
                <w:color w:val="auto"/>
                <w:sz w:val="22"/>
                <w:highlight w:val="none"/>
              </w:rPr>
              <w:t>支付方式</w:t>
            </w:r>
          </w:p>
        </w:tc>
        <w:tc>
          <w:tcPr>
            <w:tcW w:w="7696" w:type="dxa"/>
            <w:noWrap w:val="0"/>
            <w:vAlign w:val="center"/>
          </w:tcPr>
          <w:p>
            <w:pPr>
              <w:pStyle w:val="3"/>
              <w:widowControl/>
              <w:rPr>
                <w:rFonts w:hint="eastAsia" w:ascii="宋体" w:hAnsi="宋体" w:cs="宋体"/>
                <w:color w:val="auto"/>
                <w:sz w:val="22"/>
                <w:highlight w:val="none"/>
                <w:u w:val="single"/>
              </w:rPr>
            </w:pPr>
            <w:r>
              <w:rPr>
                <w:rFonts w:hint="eastAsia" w:ascii="宋体" w:hAnsi="宋体" w:cs="宋体"/>
                <w:color w:val="auto"/>
                <w:sz w:val="22"/>
                <w:highlight w:val="none"/>
                <w:u w:val="single"/>
              </w:rPr>
              <w:t>▲合同生效以及具备实施条件（</w:t>
            </w:r>
            <w:r>
              <w:rPr>
                <w:rFonts w:hint="eastAsia"/>
                <w:color w:val="auto"/>
                <w:sz w:val="22"/>
                <w:highlight w:val="none"/>
                <w:u w:val="single"/>
              </w:rPr>
              <w:t>实施条件：中标人完成所有必要准备工作，包括但不限于项目规划、系统架构、人员配置、</w:t>
            </w:r>
            <w:r>
              <w:rPr>
                <w:rFonts w:hint="eastAsia"/>
                <w:color w:val="auto"/>
                <w:sz w:val="22"/>
                <w:highlight w:val="none"/>
                <w:u w:val="single"/>
                <w:lang w:eastAsia="zh-CN"/>
              </w:rPr>
              <w:t>与学校的单点登录系统</w:t>
            </w:r>
            <w:r>
              <w:rPr>
                <w:rFonts w:hint="eastAsia"/>
                <w:color w:val="auto"/>
                <w:sz w:val="22"/>
                <w:highlight w:val="none"/>
                <w:u w:val="single"/>
                <w:lang w:val="en-US" w:eastAsia="zh-CN"/>
              </w:rPr>
              <w:t>,</w:t>
            </w:r>
            <w:r>
              <w:rPr>
                <w:rFonts w:hint="eastAsia"/>
                <w:color w:val="auto"/>
                <w:sz w:val="22"/>
                <w:highlight w:val="none"/>
                <w:u w:val="single"/>
                <w:lang w:eastAsia="zh-CN"/>
              </w:rPr>
              <w:t>数据中心系统对接</w:t>
            </w:r>
            <w:r>
              <w:rPr>
                <w:rFonts w:hint="eastAsia"/>
                <w:color w:val="auto"/>
                <w:sz w:val="22"/>
                <w:highlight w:val="none"/>
                <w:u w:val="single"/>
              </w:rPr>
              <w:t>等，中标人确保所有相关人员熟悉并理解项目要求能够按照合同约定完成任务，实施时间要求为合同签订后一个月内完成以上任务</w:t>
            </w:r>
            <w:r>
              <w:rPr>
                <w:rFonts w:hint="eastAsia" w:ascii="宋体" w:hAnsi="宋体" w:cs="宋体"/>
                <w:color w:val="auto"/>
                <w:sz w:val="22"/>
                <w:highlight w:val="none"/>
                <w:u w:val="single"/>
              </w:rPr>
              <w:t>）后7个工作日内采购人先预付合同金额的40%给中标人，中标人</w:t>
            </w:r>
            <w:r>
              <w:rPr>
                <w:rFonts w:hint="eastAsia" w:ascii="宋体" w:hAnsi="宋体" w:cs="宋体"/>
                <w:color w:val="auto"/>
                <w:sz w:val="22"/>
                <w:highlight w:val="none"/>
                <w:u w:val="single"/>
                <w:lang w:val="zh-CN"/>
              </w:rPr>
              <w:t>完成全部供货及安装、</w:t>
            </w:r>
            <w:r>
              <w:rPr>
                <w:rFonts w:hint="eastAsia" w:ascii="宋体" w:hAnsi="宋体" w:cs="宋体"/>
                <w:color w:val="auto"/>
                <w:sz w:val="22"/>
                <w:highlight w:val="none"/>
                <w:u w:val="single"/>
              </w:rPr>
              <w:t>施工</w:t>
            </w:r>
            <w:r>
              <w:rPr>
                <w:rFonts w:hint="eastAsia" w:ascii="宋体" w:hAnsi="宋体" w:cs="宋体"/>
                <w:color w:val="auto"/>
                <w:sz w:val="22"/>
                <w:highlight w:val="none"/>
                <w:u w:val="single"/>
                <w:lang w:val="zh-CN"/>
              </w:rPr>
              <w:t>、调试并通过</w:t>
            </w:r>
            <w:r>
              <w:rPr>
                <w:rFonts w:hint="eastAsia" w:ascii="宋体" w:hAnsi="宋体" w:cs="宋体"/>
                <w:color w:val="auto"/>
                <w:sz w:val="22"/>
                <w:highlight w:val="none"/>
                <w:u w:val="single"/>
              </w:rPr>
              <w:t>采购人初步</w:t>
            </w:r>
            <w:r>
              <w:rPr>
                <w:rFonts w:hint="eastAsia" w:ascii="宋体" w:hAnsi="宋体" w:cs="宋体"/>
                <w:color w:val="auto"/>
                <w:sz w:val="22"/>
                <w:highlight w:val="none"/>
                <w:u w:val="single"/>
                <w:lang w:val="zh-CN"/>
              </w:rPr>
              <w:t>验收，</w:t>
            </w:r>
            <w:r>
              <w:rPr>
                <w:rFonts w:hint="eastAsia" w:ascii="宋体" w:hAnsi="宋体" w:cs="宋体"/>
                <w:color w:val="auto"/>
                <w:sz w:val="22"/>
                <w:highlight w:val="none"/>
                <w:u w:val="single"/>
              </w:rPr>
              <w:t>采购人</w:t>
            </w:r>
            <w:r>
              <w:rPr>
                <w:rFonts w:hint="eastAsia" w:ascii="宋体" w:hAnsi="宋体" w:cs="宋体"/>
                <w:color w:val="auto"/>
                <w:sz w:val="22"/>
                <w:highlight w:val="none"/>
                <w:u w:val="single"/>
                <w:lang w:val="zh-CN"/>
              </w:rPr>
              <w:t>自收到发票后7个工作日内</w:t>
            </w:r>
            <w:r>
              <w:rPr>
                <w:rFonts w:hint="eastAsia" w:ascii="宋体" w:hAnsi="宋体" w:cs="宋体"/>
                <w:color w:val="auto"/>
                <w:sz w:val="22"/>
                <w:highlight w:val="none"/>
                <w:u w:val="single"/>
              </w:rPr>
              <w:t>支付合同金额的30%，剩余的30%合同款待项目最终验收（最终验收前需试运行</w:t>
            </w:r>
            <w:r>
              <w:rPr>
                <w:rFonts w:hint="eastAsia" w:ascii="宋体" w:hAnsi="宋体" w:cs="宋体"/>
                <w:color w:val="auto"/>
                <w:sz w:val="22"/>
                <w:highlight w:val="none"/>
                <w:u w:val="single"/>
                <w:lang w:val="en-US" w:eastAsia="zh-CN"/>
              </w:rPr>
              <w:t>6</w:t>
            </w:r>
            <w:r>
              <w:rPr>
                <w:rFonts w:hint="eastAsia" w:ascii="宋体" w:hAnsi="宋体" w:cs="宋体"/>
                <w:color w:val="auto"/>
                <w:sz w:val="22"/>
                <w:highlight w:val="none"/>
                <w:u w:val="single"/>
              </w:rPr>
              <w:t>个月）通过后，采购人</w:t>
            </w:r>
            <w:r>
              <w:rPr>
                <w:rFonts w:hint="eastAsia" w:ascii="宋体" w:hAnsi="宋体" w:cs="宋体"/>
                <w:color w:val="auto"/>
                <w:sz w:val="22"/>
                <w:highlight w:val="none"/>
                <w:u w:val="single"/>
                <w:lang w:val="zh-CN"/>
              </w:rPr>
              <w:t>自收到发票后7个工作日内</w:t>
            </w:r>
            <w:r>
              <w:rPr>
                <w:rFonts w:hint="eastAsia" w:ascii="宋体" w:hAnsi="宋体" w:cs="宋体"/>
                <w:color w:val="auto"/>
                <w:sz w:val="22"/>
                <w:highlight w:val="none"/>
                <w:u w:val="single"/>
              </w:rPr>
              <w:t>支付完毕。中标人各阶段均需开具全额正规</w:t>
            </w:r>
            <w:r>
              <w:rPr>
                <w:rFonts w:hint="eastAsia" w:ascii="宋体" w:hAnsi="宋体" w:eastAsia="宋体" w:cs="宋体"/>
                <w:color w:val="auto"/>
                <w:sz w:val="22"/>
                <w:highlight w:val="none"/>
                <w:u w:val="single"/>
              </w:rPr>
              <w:t>发票</w:t>
            </w:r>
            <w:r>
              <w:rPr>
                <w:rFonts w:hint="eastAsia" w:ascii="宋体" w:hAnsi="宋体" w:eastAsia="宋体" w:cs="宋体"/>
                <w:color w:val="auto"/>
                <w:sz w:val="22"/>
                <w:highlight w:val="none"/>
                <w:u w:val="single"/>
                <w:lang w:eastAsia="zh-CN"/>
              </w:rPr>
              <w:t>（总体</w:t>
            </w:r>
            <w:r>
              <w:rPr>
                <w:rFonts w:hint="eastAsia" w:ascii="宋体" w:hAnsi="宋体" w:eastAsia="宋体" w:cs="宋体"/>
                <w:color w:val="auto"/>
                <w:sz w:val="22"/>
                <w:highlight w:val="none"/>
                <w:u w:val="single"/>
              </w:rPr>
              <w:t>服务时间</w:t>
            </w:r>
            <w:r>
              <w:rPr>
                <w:rFonts w:hint="eastAsia" w:ascii="宋体" w:hAnsi="宋体" w:eastAsia="宋体" w:cs="宋体"/>
                <w:color w:val="auto"/>
                <w:sz w:val="22"/>
                <w:highlight w:val="none"/>
                <w:u w:val="single"/>
                <w:lang w:eastAsia="zh-CN"/>
              </w:rPr>
              <w:t>：</w:t>
            </w:r>
            <w:r>
              <w:rPr>
                <w:rFonts w:hint="eastAsia" w:ascii="宋体" w:hAnsi="宋体" w:eastAsia="宋体" w:cs="宋体"/>
                <w:color w:val="auto"/>
                <w:sz w:val="22"/>
                <w:highlight w:val="none"/>
                <w:u w:val="single"/>
              </w:rPr>
              <w:t>合同签订后7个月内按照合同要求完成</w:t>
            </w:r>
            <w:r>
              <w:rPr>
                <w:rFonts w:hint="eastAsia" w:ascii="宋体" w:hAnsi="宋体" w:eastAsia="宋体" w:cs="宋体"/>
                <w:color w:val="auto"/>
                <w:sz w:val="22"/>
                <w:highlight w:val="none"/>
                <w:u w:val="single"/>
                <w:lang w:val="zh-CN"/>
              </w:rPr>
              <w:t>平台的开发内容、部署，并通过初验。初验通过后，试运行</w:t>
            </w:r>
            <w:r>
              <w:rPr>
                <w:rFonts w:hint="eastAsia" w:ascii="宋体" w:hAnsi="宋体" w:eastAsia="宋体" w:cs="宋体"/>
                <w:color w:val="auto"/>
                <w:sz w:val="22"/>
                <w:highlight w:val="none"/>
                <w:u w:val="single"/>
              </w:rPr>
              <w:t>6</w:t>
            </w:r>
            <w:r>
              <w:rPr>
                <w:rFonts w:hint="eastAsia" w:ascii="宋体" w:hAnsi="宋体" w:eastAsia="宋体" w:cs="宋体"/>
                <w:color w:val="auto"/>
                <w:sz w:val="22"/>
                <w:highlight w:val="none"/>
                <w:u w:val="single"/>
                <w:lang w:val="zh-CN"/>
              </w:rPr>
              <w:t>个月再进行终验。</w:t>
            </w:r>
            <w:r>
              <w:rPr>
                <w:rFonts w:hint="eastAsia" w:ascii="宋体" w:hAnsi="宋体" w:eastAsia="宋体" w:cs="宋体"/>
                <w:color w:val="auto"/>
                <w:sz w:val="22"/>
                <w:highlight w:val="none"/>
                <w:u w:val="single"/>
                <w:lang w:eastAsia="zh-CN"/>
              </w:rPr>
              <w:t>）</w:t>
            </w:r>
            <w:r>
              <w:rPr>
                <w:rFonts w:hint="eastAsia" w:ascii="宋体" w:hAnsi="宋体" w:eastAsia="宋体" w:cs="宋体"/>
                <w:color w:val="auto"/>
                <w:sz w:val="22"/>
                <w:highlight w:val="none"/>
                <w:u w:val="single"/>
              </w:rPr>
              <w:t>。</w:t>
            </w:r>
          </w:p>
          <w:p>
            <w:pPr>
              <w:spacing w:line="400" w:lineRule="exact"/>
              <w:rPr>
                <w:rFonts w:ascii="宋体" w:hAnsi="宋体" w:cs="宋体"/>
                <w:color w:val="auto"/>
                <w:sz w:val="22"/>
                <w:highlight w:val="none"/>
                <w:u w:val="single"/>
              </w:rPr>
            </w:pPr>
            <w:r>
              <w:rPr>
                <w:rFonts w:hint="eastAsia" w:ascii="宋体" w:hAnsi="宋体" w:cs="宋体"/>
                <w:color w:val="auto"/>
                <w:sz w:val="22"/>
                <w:highlight w:val="none"/>
              </w:rPr>
              <w:t>注：在签订合同时，供应商明确表示无需预付款或者主动要求降低预付款比例的，按实际比例计。供应商明确表示无需预付款的，采用下述付款方式：中标人</w:t>
            </w:r>
            <w:r>
              <w:rPr>
                <w:rFonts w:hint="eastAsia" w:ascii="宋体" w:hAnsi="宋体" w:cs="宋体"/>
                <w:color w:val="auto"/>
                <w:sz w:val="22"/>
                <w:highlight w:val="none"/>
                <w:lang w:val="zh-CN"/>
              </w:rPr>
              <w:t>完成全部供货及安装、</w:t>
            </w:r>
            <w:r>
              <w:rPr>
                <w:rFonts w:hint="eastAsia" w:ascii="宋体" w:hAnsi="宋体" w:cs="宋体"/>
                <w:color w:val="auto"/>
                <w:sz w:val="22"/>
                <w:highlight w:val="none"/>
              </w:rPr>
              <w:t>施工</w:t>
            </w:r>
            <w:r>
              <w:rPr>
                <w:rFonts w:hint="eastAsia" w:ascii="宋体" w:hAnsi="宋体" w:cs="宋体"/>
                <w:color w:val="auto"/>
                <w:sz w:val="22"/>
                <w:highlight w:val="none"/>
                <w:lang w:val="zh-CN"/>
              </w:rPr>
              <w:t>、调试并通过</w:t>
            </w:r>
            <w:r>
              <w:rPr>
                <w:rFonts w:hint="eastAsia" w:ascii="宋体" w:hAnsi="宋体" w:cs="宋体"/>
                <w:color w:val="auto"/>
                <w:sz w:val="22"/>
                <w:highlight w:val="none"/>
              </w:rPr>
              <w:t>采购人</w:t>
            </w:r>
            <w:r>
              <w:rPr>
                <w:rFonts w:hint="eastAsia" w:ascii="宋体" w:hAnsi="宋体" w:cs="宋体"/>
                <w:color w:val="auto"/>
                <w:sz w:val="22"/>
                <w:highlight w:val="none"/>
                <w:lang w:val="zh-CN"/>
              </w:rPr>
              <w:t>验收且</w:t>
            </w:r>
            <w:r>
              <w:rPr>
                <w:rFonts w:hint="eastAsia" w:ascii="宋体" w:hAnsi="宋体" w:cs="宋体"/>
                <w:color w:val="auto"/>
                <w:sz w:val="22"/>
                <w:highlight w:val="none"/>
              </w:rPr>
              <w:t>中标人</w:t>
            </w:r>
            <w:r>
              <w:rPr>
                <w:rFonts w:hint="eastAsia" w:ascii="宋体" w:hAnsi="宋体" w:cs="宋体"/>
                <w:color w:val="auto"/>
                <w:sz w:val="22"/>
                <w:highlight w:val="none"/>
                <w:lang w:val="zh-CN"/>
              </w:rPr>
              <w:t>对</w:t>
            </w:r>
            <w:r>
              <w:rPr>
                <w:rFonts w:hint="eastAsia" w:ascii="宋体" w:hAnsi="宋体" w:cs="宋体"/>
                <w:color w:val="auto"/>
                <w:sz w:val="22"/>
                <w:highlight w:val="none"/>
              </w:rPr>
              <w:t>采购人</w:t>
            </w:r>
            <w:r>
              <w:rPr>
                <w:rFonts w:hint="eastAsia" w:ascii="宋体" w:hAnsi="宋体" w:cs="宋体"/>
                <w:color w:val="auto"/>
                <w:sz w:val="22"/>
                <w:highlight w:val="none"/>
                <w:lang w:val="zh-CN"/>
              </w:rPr>
              <w:t>的培训完成后，</w:t>
            </w:r>
            <w:r>
              <w:rPr>
                <w:rFonts w:hint="eastAsia" w:ascii="宋体" w:hAnsi="宋体" w:cs="宋体"/>
                <w:color w:val="auto"/>
                <w:sz w:val="22"/>
                <w:highlight w:val="none"/>
              </w:rPr>
              <w:t>采购人</w:t>
            </w:r>
            <w:r>
              <w:rPr>
                <w:rFonts w:hint="eastAsia" w:ascii="宋体" w:hAnsi="宋体" w:cs="宋体"/>
                <w:color w:val="auto"/>
                <w:sz w:val="22"/>
                <w:highlight w:val="none"/>
                <w:lang w:val="zh-CN"/>
              </w:rPr>
              <w:t>自收到发票后7个工作日内</w:t>
            </w:r>
            <w:r>
              <w:rPr>
                <w:rFonts w:hint="eastAsia" w:ascii="宋体" w:hAnsi="宋体" w:cs="宋体"/>
                <w:color w:val="auto"/>
                <w:sz w:val="22"/>
                <w:highlight w:val="none"/>
              </w:rPr>
              <w:t>支付全部的货款。中标人需开具全额正规发票。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92" w:type="dxa"/>
            <w:noWrap w:val="0"/>
            <w:vAlign w:val="center"/>
          </w:tcPr>
          <w:p>
            <w:pPr>
              <w:spacing w:line="400" w:lineRule="exact"/>
              <w:jc w:val="center"/>
              <w:rPr>
                <w:rFonts w:ascii="宋体" w:hAnsi="宋体" w:cs="宋体"/>
                <w:b/>
                <w:bCs/>
                <w:color w:val="auto"/>
                <w:sz w:val="22"/>
                <w:highlight w:val="none"/>
              </w:rPr>
            </w:pPr>
            <w:r>
              <w:rPr>
                <w:rFonts w:hint="eastAsia" w:ascii="宋体" w:hAnsi="宋体" w:cs="宋体"/>
                <w:b/>
                <w:bCs/>
                <w:color w:val="auto"/>
                <w:sz w:val="22"/>
                <w:highlight w:val="none"/>
              </w:rPr>
              <w:t>履约保证金</w:t>
            </w:r>
          </w:p>
        </w:tc>
        <w:tc>
          <w:tcPr>
            <w:tcW w:w="7696" w:type="dxa"/>
            <w:noWrap w:val="0"/>
            <w:vAlign w:val="center"/>
          </w:tcPr>
          <w:p>
            <w:pPr>
              <w:spacing w:line="400" w:lineRule="exact"/>
              <w:rPr>
                <w:rFonts w:ascii="宋体" w:hAnsi="宋体" w:cs="宋体"/>
                <w:color w:val="auto"/>
                <w:sz w:val="22"/>
                <w:highlight w:val="none"/>
                <w:u w:val="single"/>
              </w:rPr>
            </w:pPr>
            <w:r>
              <w:rPr>
                <w:rFonts w:hint="eastAsia" w:ascii="宋体" w:hAnsi="宋体" w:cs="宋体"/>
                <w:color w:val="auto"/>
                <w:sz w:val="22"/>
                <w:highlight w:val="none"/>
                <w:u w:val="single"/>
              </w:rPr>
              <w:t>▲合同生效以及具备实施条件后7个工作日内，中标人以银行转账/转帐支票/银行汇票/银行、保险公司出具的保函形式向采购人提供合同金额1%的履约保证金。履约保证金用于中标人在履行本合同过程中发生违约行为应支付采购人的违约金、赔偿金等费用。如无任何问题，采购人将在中标人履行完毕本合同项下全部义务（项目验收合格）之日起5个工作日内无息退还给中标人。（保函应满足以下几个条件：①为无条件保函：即在中标人没有实施合同或者未履行合同义务时，采购人不需要出具任何证明和理由，若中标人违约，采购人无需通知中标人，即可单方对保函进行收兑；②保函期限：自本合同生效之日起至合同履约完毕之日止；③如果由于合同执行延误或银行、保险公司要求分期出具保函的，则在前一份保函有效期届满之日起2个月前必须重新出具相同内容的保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492" w:type="dxa"/>
            <w:noWrap w:val="0"/>
            <w:vAlign w:val="center"/>
          </w:tcPr>
          <w:p>
            <w:pPr>
              <w:widowControl/>
              <w:adjustRightInd w:val="0"/>
              <w:snapToGrid w:val="0"/>
              <w:spacing w:line="400" w:lineRule="exact"/>
              <w:jc w:val="center"/>
              <w:rPr>
                <w:rFonts w:ascii="宋体" w:hAnsi="宋体" w:cs="宋体"/>
                <w:b/>
                <w:bCs/>
                <w:color w:val="auto"/>
                <w:sz w:val="22"/>
                <w:highlight w:val="none"/>
              </w:rPr>
            </w:pPr>
            <w:r>
              <w:rPr>
                <w:rFonts w:hint="eastAsia" w:ascii="宋体" w:hAnsi="宋体" w:cs="宋体"/>
                <w:b/>
                <w:bCs/>
                <w:color w:val="auto"/>
                <w:sz w:val="22"/>
                <w:highlight w:val="none"/>
              </w:rPr>
              <w:t>服务时间</w:t>
            </w:r>
          </w:p>
        </w:tc>
        <w:tc>
          <w:tcPr>
            <w:tcW w:w="7696" w:type="dxa"/>
            <w:noWrap w:val="0"/>
            <w:vAlign w:val="center"/>
          </w:tcPr>
          <w:p>
            <w:pPr>
              <w:pStyle w:val="3"/>
              <w:widowControl/>
              <w:adjustRightInd w:val="0"/>
              <w:snapToGrid w:val="0"/>
              <w:spacing w:line="400" w:lineRule="exact"/>
              <w:rPr>
                <w:rFonts w:ascii="宋体" w:hAnsi="宋体" w:cs="宋体"/>
                <w:color w:val="auto"/>
                <w:sz w:val="22"/>
                <w:highlight w:val="none"/>
              </w:rPr>
            </w:pPr>
            <w:r>
              <w:rPr>
                <w:rFonts w:hint="eastAsia" w:ascii="宋体" w:hAnsi="宋体" w:cs="宋体"/>
                <w:color w:val="auto"/>
                <w:sz w:val="22"/>
                <w:highlight w:val="none"/>
              </w:rPr>
              <w:t>合同签订后7个月内按照合同要求完成</w:t>
            </w:r>
            <w:r>
              <w:rPr>
                <w:rFonts w:hint="eastAsia" w:ascii="宋体" w:hAnsi="宋体" w:cs="宋体"/>
                <w:color w:val="auto"/>
                <w:sz w:val="22"/>
                <w:highlight w:val="none"/>
                <w:lang w:val="zh-CN"/>
              </w:rPr>
              <w:t>平台的开发内容、部署，并通过初验。初验通过后，试运行</w:t>
            </w:r>
            <w:r>
              <w:rPr>
                <w:rFonts w:ascii="宋体" w:hAnsi="宋体" w:cs="宋体"/>
                <w:color w:val="auto"/>
                <w:sz w:val="22"/>
                <w:highlight w:val="none"/>
              </w:rPr>
              <w:t>6</w:t>
            </w:r>
            <w:r>
              <w:rPr>
                <w:rFonts w:hint="eastAsia" w:ascii="宋体" w:hAnsi="宋体" w:cs="宋体"/>
                <w:color w:val="auto"/>
                <w:sz w:val="22"/>
                <w:highlight w:val="none"/>
                <w:lang w:val="zh-CN"/>
              </w:rPr>
              <w:t>个月再进行终验。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492" w:type="dxa"/>
            <w:noWrap w:val="0"/>
            <w:vAlign w:val="center"/>
          </w:tcPr>
          <w:p>
            <w:pPr>
              <w:widowControl/>
              <w:adjustRightInd w:val="0"/>
              <w:snapToGrid w:val="0"/>
              <w:spacing w:line="400" w:lineRule="exact"/>
              <w:jc w:val="center"/>
              <w:rPr>
                <w:rFonts w:ascii="宋体" w:hAnsi="宋体" w:cs="宋体"/>
                <w:b/>
                <w:bCs/>
                <w:color w:val="auto"/>
                <w:sz w:val="22"/>
                <w:highlight w:val="none"/>
              </w:rPr>
            </w:pPr>
            <w:r>
              <w:rPr>
                <w:rFonts w:hint="eastAsia" w:ascii="宋体" w:hAnsi="宋体" w:cs="宋体"/>
                <w:b/>
                <w:bCs/>
                <w:color w:val="auto"/>
                <w:sz w:val="22"/>
                <w:highlight w:val="none"/>
              </w:rPr>
              <w:t>交付地点</w:t>
            </w:r>
          </w:p>
        </w:tc>
        <w:tc>
          <w:tcPr>
            <w:tcW w:w="7696" w:type="dxa"/>
            <w:noWrap w:val="0"/>
            <w:vAlign w:val="center"/>
          </w:tcPr>
          <w:p>
            <w:pPr>
              <w:pStyle w:val="3"/>
              <w:widowControl/>
              <w:adjustRightInd w:val="0"/>
              <w:snapToGrid w:val="0"/>
              <w:spacing w:line="400" w:lineRule="exact"/>
              <w:rPr>
                <w:rFonts w:ascii="宋体" w:hAnsi="宋体" w:cs="宋体"/>
                <w:color w:val="auto"/>
                <w:sz w:val="22"/>
                <w:highlight w:val="none"/>
              </w:rPr>
            </w:pPr>
            <w:r>
              <w:rPr>
                <w:rFonts w:hint="eastAsia" w:ascii="宋体" w:hAnsi="宋体" w:cs="宋体"/>
                <w:color w:val="auto"/>
                <w:sz w:val="22"/>
                <w:highlight w:val="none"/>
                <w:lang w:val="zh-CN"/>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492" w:type="dxa"/>
            <w:noWrap w:val="0"/>
            <w:vAlign w:val="center"/>
          </w:tcPr>
          <w:p>
            <w:pPr>
              <w:widowControl/>
              <w:adjustRightInd w:val="0"/>
              <w:snapToGrid w:val="0"/>
              <w:spacing w:line="400" w:lineRule="exact"/>
              <w:jc w:val="center"/>
              <w:rPr>
                <w:rFonts w:ascii="宋体" w:hAnsi="宋体" w:cs="宋体"/>
                <w:b/>
                <w:bCs/>
                <w:color w:val="auto"/>
                <w:sz w:val="22"/>
                <w:highlight w:val="none"/>
              </w:rPr>
            </w:pPr>
            <w:r>
              <w:rPr>
                <w:rFonts w:hint="eastAsia" w:ascii="宋体" w:hAnsi="宋体" w:cs="宋体"/>
                <w:b/>
                <w:bCs/>
                <w:color w:val="auto"/>
                <w:sz w:val="22"/>
                <w:highlight w:val="none"/>
              </w:rPr>
              <w:t>质保期</w:t>
            </w:r>
          </w:p>
        </w:tc>
        <w:tc>
          <w:tcPr>
            <w:tcW w:w="7696" w:type="dxa"/>
            <w:noWrap w:val="0"/>
            <w:vAlign w:val="center"/>
          </w:tcPr>
          <w:p>
            <w:pPr>
              <w:pStyle w:val="3"/>
              <w:widowControl/>
              <w:adjustRightInd w:val="0"/>
              <w:snapToGrid w:val="0"/>
              <w:spacing w:line="400" w:lineRule="exact"/>
              <w:rPr>
                <w:rFonts w:ascii="宋体" w:hAnsi="宋体" w:cs="宋体"/>
                <w:color w:val="auto"/>
                <w:sz w:val="22"/>
                <w:highlight w:val="none"/>
              </w:rPr>
            </w:pPr>
            <w:r>
              <w:rPr>
                <w:rFonts w:hint="eastAsia" w:ascii="宋体" w:hAnsi="宋体" w:cs="宋体"/>
                <w:color w:val="auto"/>
                <w:sz w:val="22"/>
                <w:highlight w:val="none"/>
              </w:rPr>
              <w:t>所有产品质保期自验收之日起2年，在此质保期内，如在正常使用过程中出现的质量问题，供应商须负责免费维修、维护或升级。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492" w:type="dxa"/>
            <w:noWrap w:val="0"/>
            <w:vAlign w:val="center"/>
          </w:tcPr>
          <w:p>
            <w:pPr>
              <w:spacing w:line="400" w:lineRule="exact"/>
              <w:jc w:val="center"/>
              <w:rPr>
                <w:rFonts w:ascii="宋体" w:hAnsi="宋体" w:cs="宋体"/>
                <w:b/>
                <w:bCs/>
                <w:color w:val="auto"/>
                <w:sz w:val="22"/>
                <w:highlight w:val="none"/>
              </w:rPr>
            </w:pPr>
            <w:r>
              <w:rPr>
                <w:rFonts w:hint="eastAsia" w:ascii="宋体" w:hAnsi="宋体" w:cs="宋体"/>
                <w:b/>
                <w:bCs/>
                <w:color w:val="auto"/>
                <w:sz w:val="22"/>
                <w:highlight w:val="none"/>
              </w:rPr>
              <w:t>服务标准</w:t>
            </w:r>
          </w:p>
        </w:tc>
        <w:tc>
          <w:tcPr>
            <w:tcW w:w="7696" w:type="dxa"/>
            <w:noWrap w:val="0"/>
            <w:vAlign w:val="center"/>
          </w:tcPr>
          <w:p>
            <w:pPr>
              <w:widowControl/>
              <w:spacing w:line="400" w:lineRule="exact"/>
              <w:jc w:val="left"/>
              <w:rPr>
                <w:rFonts w:ascii="宋体" w:hAnsi="宋体" w:cs="宋体"/>
                <w:bCs/>
                <w:color w:val="auto"/>
                <w:sz w:val="22"/>
                <w:highlight w:val="none"/>
              </w:rPr>
            </w:pPr>
            <w:r>
              <w:rPr>
                <w:rFonts w:hint="eastAsia" w:ascii="宋体" w:hAnsi="宋体" w:cs="宋体"/>
                <w:bCs/>
                <w:color w:val="auto"/>
                <w:sz w:val="22"/>
                <w:highlight w:val="none"/>
              </w:rPr>
              <w:t>1.在服务提供期间，中标人对采购人提出的在合同范围内具体需求进行调研、调整和完善，并提供</w:t>
            </w:r>
            <w:r>
              <w:rPr>
                <w:rFonts w:ascii="宋体" w:hAnsi="宋体" w:cs="宋体"/>
                <w:bCs/>
                <w:color w:val="auto"/>
                <w:sz w:val="22"/>
                <w:highlight w:val="none"/>
              </w:rPr>
              <w:t>6</w:t>
            </w:r>
            <w:r>
              <w:rPr>
                <w:rFonts w:hint="eastAsia" w:ascii="宋体" w:hAnsi="宋体" w:cs="宋体"/>
                <w:bCs/>
                <w:color w:val="auto"/>
                <w:sz w:val="22"/>
                <w:highlight w:val="none"/>
              </w:rPr>
              <w:t>个月试运行等服务，试运行期按照采购要求进行，不达标则延长期限（延长期限超过30天未达标的，采购人有权终止合同并按合同中中标人</w:t>
            </w:r>
            <w:r>
              <w:rPr>
                <w:rFonts w:hint="eastAsia" w:ascii="宋体" w:hAnsi="宋体" w:cs="宋体"/>
                <w:color w:val="auto"/>
                <w:sz w:val="22"/>
                <w:highlight w:val="none"/>
              </w:rPr>
              <w:t>逾期履行合同</w:t>
            </w:r>
            <w:r>
              <w:rPr>
                <w:rFonts w:hint="eastAsia" w:ascii="宋体" w:hAnsi="宋体" w:cs="宋体"/>
                <w:bCs/>
                <w:color w:val="auto"/>
                <w:sz w:val="22"/>
                <w:highlight w:val="none"/>
              </w:rPr>
              <w:t>的违约条款执行）。</w:t>
            </w:r>
          </w:p>
          <w:p>
            <w:pPr>
              <w:widowControl/>
              <w:spacing w:line="400" w:lineRule="exact"/>
              <w:jc w:val="left"/>
              <w:rPr>
                <w:rFonts w:ascii="宋体" w:hAnsi="宋体" w:cs="宋体"/>
                <w:bCs/>
                <w:color w:val="auto"/>
                <w:sz w:val="22"/>
                <w:highlight w:val="none"/>
              </w:rPr>
            </w:pPr>
            <w:r>
              <w:rPr>
                <w:rFonts w:hint="eastAsia" w:ascii="宋体" w:hAnsi="宋体" w:cs="宋体"/>
                <w:bCs/>
                <w:color w:val="auto"/>
                <w:sz w:val="22"/>
                <w:highlight w:val="none"/>
              </w:rPr>
              <w:t>2.本项目建设过程中，投标人应充分考虑所提供解决方案的可行性和合理性，并保证项目落地实施，在项目开发阶段需保证有至少2人的驻场服务。</w:t>
            </w:r>
          </w:p>
          <w:p>
            <w:pPr>
              <w:widowControl/>
              <w:spacing w:line="400" w:lineRule="exact"/>
              <w:jc w:val="left"/>
              <w:rPr>
                <w:rFonts w:ascii="宋体" w:hAnsi="宋体" w:cs="宋体"/>
                <w:bCs/>
                <w:color w:val="auto"/>
                <w:sz w:val="22"/>
                <w:highlight w:val="none"/>
              </w:rPr>
            </w:pPr>
            <w:r>
              <w:rPr>
                <w:rFonts w:hint="eastAsia" w:ascii="宋体" w:hAnsi="宋体" w:cs="宋体"/>
                <w:bCs/>
                <w:color w:val="auto"/>
                <w:sz w:val="22"/>
                <w:highlight w:val="none"/>
              </w:rPr>
              <w:t>3.投标人应允许采购人的工作人员参与系统的安装、测试、诊断及解决问题等各项工作。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492" w:type="dxa"/>
            <w:noWrap w:val="0"/>
            <w:vAlign w:val="center"/>
          </w:tcPr>
          <w:p>
            <w:pPr>
              <w:spacing w:line="400" w:lineRule="exact"/>
              <w:jc w:val="center"/>
              <w:rPr>
                <w:rFonts w:ascii="宋体" w:hAnsi="宋体" w:cs="宋体"/>
                <w:b/>
                <w:color w:val="auto"/>
                <w:sz w:val="22"/>
                <w:highlight w:val="none"/>
              </w:rPr>
            </w:pPr>
            <w:r>
              <w:rPr>
                <w:rFonts w:hint="eastAsia" w:ascii="宋体" w:hAnsi="宋体" w:cs="宋体"/>
                <w:b/>
                <w:color w:val="auto"/>
                <w:sz w:val="22"/>
                <w:highlight w:val="none"/>
              </w:rPr>
              <w:t>售后服务</w:t>
            </w:r>
          </w:p>
        </w:tc>
        <w:tc>
          <w:tcPr>
            <w:tcW w:w="7696" w:type="dxa"/>
            <w:noWrap w:val="0"/>
            <w:vAlign w:val="center"/>
          </w:tcPr>
          <w:p>
            <w:pPr>
              <w:spacing w:line="400" w:lineRule="exact"/>
              <w:jc w:val="left"/>
              <w:rPr>
                <w:rFonts w:ascii="宋体" w:hAnsi="宋体" w:cs="宋体"/>
                <w:bCs/>
                <w:color w:val="auto"/>
                <w:sz w:val="22"/>
                <w:highlight w:val="none"/>
              </w:rPr>
            </w:pPr>
            <w:r>
              <w:rPr>
                <w:rFonts w:hint="eastAsia" w:ascii="宋体" w:hAnsi="宋体" w:cs="宋体"/>
                <w:bCs/>
                <w:color w:val="auto"/>
                <w:sz w:val="22"/>
                <w:highlight w:val="none"/>
              </w:rPr>
              <w:t>1.针对平台运维安排专人值守，每周7×24小时，全年365天不间断响应。</w:t>
            </w:r>
          </w:p>
          <w:p>
            <w:pPr>
              <w:spacing w:line="400" w:lineRule="exact"/>
              <w:jc w:val="left"/>
              <w:rPr>
                <w:rFonts w:ascii="宋体" w:hAnsi="宋体" w:cs="宋体"/>
                <w:bCs/>
                <w:color w:val="auto"/>
                <w:sz w:val="22"/>
                <w:highlight w:val="none"/>
              </w:rPr>
            </w:pPr>
            <w:r>
              <w:rPr>
                <w:rFonts w:hint="eastAsia" w:ascii="宋体" w:hAnsi="宋体" w:cs="宋体"/>
                <w:bCs/>
                <w:color w:val="auto"/>
                <w:sz w:val="22"/>
                <w:highlight w:val="none"/>
              </w:rPr>
              <w:t>2.电话报修即时响应，2小时内到达现场；紧急时刻1小时到达现场，24小时之内系统恢复正常。</w:t>
            </w:r>
          </w:p>
          <w:p>
            <w:pPr>
              <w:spacing w:line="400" w:lineRule="exact"/>
              <w:jc w:val="left"/>
              <w:rPr>
                <w:rFonts w:ascii="宋体" w:hAnsi="宋体" w:cs="宋体"/>
                <w:bCs/>
                <w:color w:val="auto"/>
                <w:sz w:val="22"/>
                <w:highlight w:val="none"/>
              </w:rPr>
            </w:pPr>
            <w:r>
              <w:rPr>
                <w:rFonts w:hint="eastAsia" w:ascii="宋体" w:hAnsi="宋体" w:cs="宋体"/>
                <w:bCs/>
                <w:color w:val="auto"/>
                <w:sz w:val="22"/>
                <w:highlight w:val="none"/>
              </w:rPr>
              <w:t>3.非系统崩溃的情况，接到问题报告后0.5小时内提供电话支持服务。</w:t>
            </w:r>
          </w:p>
          <w:p>
            <w:pPr>
              <w:spacing w:line="400" w:lineRule="exact"/>
              <w:jc w:val="left"/>
              <w:rPr>
                <w:rFonts w:ascii="宋体" w:hAnsi="宋体" w:cs="宋体"/>
                <w:bCs/>
                <w:color w:val="auto"/>
                <w:sz w:val="22"/>
                <w:highlight w:val="none"/>
              </w:rPr>
            </w:pPr>
            <w:r>
              <w:rPr>
                <w:rFonts w:hint="eastAsia" w:ascii="宋体" w:hAnsi="宋体" w:cs="宋体"/>
                <w:bCs/>
                <w:color w:val="auto"/>
                <w:sz w:val="22"/>
                <w:highlight w:val="none"/>
              </w:rPr>
              <w:t>4.项目实施关键节点（调研、验收等时间节点）需要驻场服务（驻场时间不少于10天），其余的按校方需求提供，驻场期间人员至少满足1人。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492" w:type="dxa"/>
            <w:noWrap w:val="0"/>
            <w:vAlign w:val="center"/>
          </w:tcPr>
          <w:p>
            <w:pPr>
              <w:spacing w:line="400" w:lineRule="exact"/>
              <w:jc w:val="center"/>
              <w:rPr>
                <w:rFonts w:ascii="宋体" w:hAnsi="宋体" w:cs="宋体"/>
                <w:b/>
                <w:color w:val="auto"/>
                <w:sz w:val="22"/>
                <w:highlight w:val="none"/>
              </w:rPr>
            </w:pPr>
            <w:r>
              <w:rPr>
                <w:rFonts w:hint="eastAsia" w:ascii="宋体" w:hAnsi="宋体" w:cs="宋体"/>
                <w:b/>
                <w:color w:val="auto"/>
                <w:sz w:val="22"/>
                <w:highlight w:val="none"/>
              </w:rPr>
              <w:t>验收标准</w:t>
            </w:r>
          </w:p>
        </w:tc>
        <w:tc>
          <w:tcPr>
            <w:tcW w:w="7696" w:type="dxa"/>
            <w:noWrap w:val="0"/>
            <w:vAlign w:val="center"/>
          </w:tcPr>
          <w:p>
            <w:pPr>
              <w:numPr>
                <w:ilvl w:val="0"/>
                <w:numId w:val="1"/>
              </w:numPr>
              <w:spacing w:line="400" w:lineRule="exact"/>
              <w:jc w:val="left"/>
              <w:rPr>
                <w:rFonts w:ascii="宋体" w:hAnsi="宋体" w:cs="宋体"/>
                <w:color w:val="auto"/>
                <w:sz w:val="22"/>
                <w:highlight w:val="none"/>
              </w:rPr>
            </w:pPr>
            <w:r>
              <w:rPr>
                <w:rFonts w:hint="eastAsia" w:ascii="宋体" w:hAnsi="宋体" w:cs="宋体"/>
                <w:color w:val="auto"/>
                <w:sz w:val="22"/>
                <w:highlight w:val="none"/>
              </w:rPr>
              <w:t>合同履约验收</w:t>
            </w:r>
            <w:r>
              <w:rPr>
                <w:rFonts w:hint="eastAsia" w:ascii="宋体" w:hAnsi="宋体" w:cs="宋体"/>
                <w:color w:val="auto"/>
                <w:sz w:val="22"/>
                <w:highlight w:val="none"/>
                <w:lang w:eastAsia="zh-CN"/>
              </w:rPr>
              <w:t>参考</w:t>
            </w:r>
            <w:r>
              <w:rPr>
                <w:rFonts w:hint="eastAsia" w:ascii="宋体" w:hAnsi="宋体" w:cs="宋体"/>
                <w:color w:val="auto"/>
                <w:sz w:val="22"/>
                <w:highlight w:val="none"/>
              </w:rPr>
              <w:t>《温州市政府采购履约验收办法》(温财采[2020]6号)相关规定。</w:t>
            </w:r>
          </w:p>
          <w:p>
            <w:pPr>
              <w:numPr>
                <w:ilvl w:val="0"/>
                <w:numId w:val="1"/>
              </w:numPr>
              <w:spacing w:line="400" w:lineRule="exact"/>
              <w:jc w:val="left"/>
              <w:rPr>
                <w:rFonts w:ascii="宋体" w:hAnsi="宋体" w:cs="宋体"/>
                <w:bCs/>
                <w:color w:val="auto"/>
                <w:sz w:val="22"/>
                <w:highlight w:val="none"/>
              </w:rPr>
            </w:pPr>
            <w:r>
              <w:rPr>
                <w:rFonts w:hint="eastAsia" w:ascii="宋体" w:hAnsi="宋体" w:cs="宋体"/>
                <w:bCs/>
                <w:color w:val="auto"/>
                <w:sz w:val="22"/>
                <w:highlight w:val="none"/>
              </w:rPr>
              <w:t>验收标准应符合中国有关的国家、地方、行业的标准。</w:t>
            </w:r>
          </w:p>
          <w:p>
            <w:pPr>
              <w:numPr>
                <w:ilvl w:val="0"/>
                <w:numId w:val="1"/>
              </w:numPr>
              <w:spacing w:line="400" w:lineRule="exact"/>
              <w:jc w:val="left"/>
              <w:rPr>
                <w:rFonts w:ascii="宋体" w:hAnsi="宋体" w:cs="宋体"/>
                <w:bCs/>
                <w:color w:val="auto"/>
                <w:sz w:val="22"/>
                <w:highlight w:val="none"/>
              </w:rPr>
            </w:pPr>
            <w:r>
              <w:rPr>
                <w:rFonts w:hint="eastAsia" w:ascii="宋体" w:hAnsi="宋体" w:cs="宋体"/>
                <w:bCs/>
                <w:color w:val="auto"/>
                <w:sz w:val="22"/>
                <w:highlight w:val="none"/>
              </w:rPr>
              <w:t>由采购代理机构组织专家和用户代表，按照招标文件、合同条款、软件工程要求和实际应用效果对项目进行验收，验收费用（固定金额3500元）由中标人承担。</w:t>
            </w:r>
          </w:p>
          <w:p>
            <w:pPr>
              <w:numPr>
                <w:ilvl w:val="0"/>
                <w:numId w:val="1"/>
              </w:numPr>
              <w:spacing w:line="400" w:lineRule="exact"/>
              <w:jc w:val="left"/>
              <w:rPr>
                <w:rFonts w:ascii="宋体" w:hAnsi="宋体" w:cs="宋体"/>
                <w:bCs/>
                <w:color w:val="auto"/>
                <w:sz w:val="22"/>
                <w:highlight w:val="none"/>
              </w:rPr>
            </w:pPr>
            <w:r>
              <w:rPr>
                <w:rFonts w:hint="eastAsia" w:ascii="宋体" w:hAnsi="宋体" w:cs="宋体"/>
                <w:bCs/>
                <w:color w:val="auto"/>
                <w:sz w:val="22"/>
                <w:highlight w:val="none"/>
              </w:rPr>
              <w:t>验收时供应商应在现场，验收完毕后作出验收结果报告。</w:t>
            </w:r>
          </w:p>
          <w:p>
            <w:pPr>
              <w:numPr>
                <w:ilvl w:val="0"/>
                <w:numId w:val="1"/>
              </w:numPr>
              <w:spacing w:line="400" w:lineRule="exact"/>
              <w:jc w:val="left"/>
              <w:rPr>
                <w:rFonts w:ascii="宋体" w:hAnsi="宋体" w:cs="宋体"/>
                <w:bCs/>
                <w:color w:val="auto"/>
                <w:sz w:val="22"/>
                <w:highlight w:val="none"/>
              </w:rPr>
            </w:pPr>
            <w:r>
              <w:rPr>
                <w:rFonts w:hint="eastAsia" w:ascii="宋体" w:hAnsi="宋体" w:cs="宋体"/>
                <w:bCs/>
                <w:color w:val="auto"/>
                <w:sz w:val="22"/>
                <w:highlight w:val="none"/>
              </w:rPr>
              <w:t>如发现有重大的质量问题，双方均同意提请国家法定检测机构鉴定，如检测结果证明产品无质量问题，由采购人承担检测费用；如检测结果证明产品有质量问题，由供应商承担检测费用并进行整改，同时供应商同意采购人无条件退换货并支付给采购人违约金，违约金按合同违约条款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492" w:type="dxa"/>
            <w:noWrap w:val="0"/>
            <w:vAlign w:val="center"/>
          </w:tcPr>
          <w:p>
            <w:pPr>
              <w:spacing w:line="400" w:lineRule="exact"/>
              <w:jc w:val="center"/>
              <w:rPr>
                <w:rFonts w:ascii="宋体" w:hAnsi="宋体" w:cs="宋体"/>
                <w:b/>
                <w:bCs/>
                <w:color w:val="auto"/>
                <w:sz w:val="22"/>
                <w:highlight w:val="none"/>
              </w:rPr>
            </w:pPr>
            <w:r>
              <w:rPr>
                <w:rFonts w:hint="eastAsia" w:ascii="宋体" w:hAnsi="宋体" w:cs="宋体"/>
                <w:b/>
                <w:bCs/>
                <w:color w:val="auto"/>
                <w:sz w:val="22"/>
                <w:highlight w:val="none"/>
              </w:rPr>
              <w:t>其他</w:t>
            </w:r>
          </w:p>
        </w:tc>
        <w:tc>
          <w:tcPr>
            <w:tcW w:w="7696" w:type="dxa"/>
            <w:noWrap w:val="0"/>
            <w:vAlign w:val="center"/>
          </w:tcPr>
          <w:p>
            <w:pPr>
              <w:widowControl/>
              <w:spacing w:line="400" w:lineRule="exact"/>
              <w:jc w:val="left"/>
              <w:rPr>
                <w:rFonts w:ascii="宋体" w:hAnsi="宋体" w:cs="宋体"/>
                <w:bCs/>
                <w:color w:val="auto"/>
                <w:sz w:val="22"/>
                <w:highlight w:val="none"/>
              </w:rPr>
            </w:pPr>
            <w:r>
              <w:rPr>
                <w:rFonts w:hint="eastAsia" w:ascii="宋体" w:hAnsi="宋体" w:cs="宋体"/>
                <w:bCs/>
                <w:color w:val="auto"/>
                <w:sz w:val="22"/>
                <w:highlight w:val="none"/>
              </w:rPr>
              <w:t>1.培训：</w:t>
            </w:r>
          </w:p>
          <w:p>
            <w:pPr>
              <w:widowControl/>
              <w:spacing w:line="400" w:lineRule="exact"/>
              <w:ind w:firstLine="220" w:firstLineChars="100"/>
              <w:jc w:val="left"/>
              <w:rPr>
                <w:rFonts w:ascii="宋体" w:hAnsi="宋体" w:cs="宋体"/>
                <w:bCs/>
                <w:color w:val="auto"/>
                <w:sz w:val="22"/>
                <w:highlight w:val="none"/>
              </w:rPr>
            </w:pPr>
            <w:r>
              <w:rPr>
                <w:rFonts w:hint="eastAsia" w:ascii="宋体" w:hAnsi="宋体" w:cs="宋体"/>
                <w:bCs/>
                <w:color w:val="auto"/>
                <w:sz w:val="22"/>
                <w:highlight w:val="none"/>
              </w:rPr>
              <w:t>1.1培训内容要求：培训内容至少包括基础知识，系统管理，数据管理、系统软硬件维护、系统功能使用。并根据培训对象业务要求，提供响应的培训项目。</w:t>
            </w:r>
          </w:p>
          <w:p>
            <w:pPr>
              <w:widowControl/>
              <w:spacing w:line="400" w:lineRule="exact"/>
              <w:ind w:firstLine="220" w:firstLineChars="100"/>
              <w:jc w:val="left"/>
              <w:rPr>
                <w:rFonts w:ascii="宋体" w:hAnsi="宋体" w:cs="宋体"/>
                <w:bCs/>
                <w:color w:val="auto"/>
                <w:sz w:val="22"/>
                <w:highlight w:val="none"/>
              </w:rPr>
            </w:pPr>
            <w:r>
              <w:rPr>
                <w:rFonts w:hint="eastAsia" w:ascii="宋体" w:hAnsi="宋体" w:cs="宋体"/>
                <w:bCs/>
                <w:color w:val="auto"/>
                <w:sz w:val="22"/>
                <w:highlight w:val="none"/>
              </w:rPr>
              <w:t>1.2培训方式要求：</w:t>
            </w:r>
            <w:r>
              <w:rPr>
                <w:rFonts w:hint="eastAsia" w:ascii="宋体" w:hAnsi="宋体" w:cs="宋体"/>
                <w:color w:val="auto"/>
                <w:sz w:val="22"/>
                <w:highlight w:val="none"/>
              </w:rPr>
              <w:t>培训方式为集中授课，并编制详尽的使用手册，供使用人员参考、使用。</w:t>
            </w:r>
          </w:p>
          <w:p>
            <w:pPr>
              <w:widowControl/>
              <w:spacing w:line="400" w:lineRule="exact"/>
              <w:ind w:firstLine="220" w:firstLineChars="100"/>
              <w:jc w:val="left"/>
              <w:rPr>
                <w:rFonts w:ascii="宋体" w:hAnsi="宋体" w:cs="宋体"/>
                <w:bCs/>
                <w:color w:val="auto"/>
                <w:sz w:val="22"/>
                <w:highlight w:val="none"/>
              </w:rPr>
            </w:pPr>
            <w:r>
              <w:rPr>
                <w:rFonts w:hint="eastAsia" w:ascii="宋体" w:hAnsi="宋体" w:cs="宋体"/>
                <w:bCs/>
                <w:color w:val="auto"/>
                <w:sz w:val="22"/>
                <w:highlight w:val="none"/>
              </w:rPr>
              <w:t>1.3培训次数要求：不少于1次。</w:t>
            </w:r>
          </w:p>
          <w:p>
            <w:pPr>
              <w:widowControl/>
              <w:spacing w:line="400" w:lineRule="exact"/>
              <w:ind w:firstLine="220" w:firstLineChars="100"/>
              <w:jc w:val="left"/>
              <w:rPr>
                <w:rFonts w:ascii="宋体" w:hAnsi="宋体" w:cs="宋体"/>
                <w:bCs/>
                <w:color w:val="auto"/>
                <w:sz w:val="22"/>
                <w:highlight w:val="none"/>
              </w:rPr>
            </w:pPr>
            <w:r>
              <w:rPr>
                <w:rFonts w:hint="eastAsia" w:ascii="宋体" w:hAnsi="宋体" w:cs="宋体"/>
                <w:bCs/>
                <w:color w:val="auto"/>
                <w:sz w:val="22"/>
                <w:highlight w:val="none"/>
              </w:rPr>
              <w:t>1.4培训人员要求：</w:t>
            </w:r>
            <w:r>
              <w:rPr>
                <w:rFonts w:hint="eastAsia" w:ascii="宋体" w:hAnsi="宋体" w:cs="宋体"/>
                <w:color w:val="auto"/>
                <w:sz w:val="22"/>
                <w:highlight w:val="none"/>
              </w:rPr>
              <w:t>主要培训对象为业务人员和日常维护技术人员。</w:t>
            </w:r>
            <w:r>
              <w:rPr>
                <w:rFonts w:hint="eastAsia" w:ascii="宋体" w:hAnsi="宋体" w:cs="宋体"/>
                <w:bCs/>
                <w:color w:val="auto"/>
                <w:sz w:val="22"/>
                <w:highlight w:val="none"/>
              </w:rPr>
              <w:t>每个培训内容的相关人员，具体人数视采购人需求而定。</w:t>
            </w:r>
          </w:p>
          <w:p>
            <w:pPr>
              <w:widowControl/>
              <w:spacing w:line="400" w:lineRule="exact"/>
              <w:jc w:val="left"/>
              <w:rPr>
                <w:rFonts w:ascii="宋体" w:hAnsi="宋体" w:cs="宋体"/>
                <w:bCs/>
                <w:color w:val="auto"/>
                <w:sz w:val="22"/>
                <w:highlight w:val="none"/>
              </w:rPr>
            </w:pPr>
            <w:r>
              <w:rPr>
                <w:rFonts w:hint="eastAsia" w:ascii="宋体" w:hAnsi="宋体" w:cs="宋体"/>
                <w:bCs/>
                <w:color w:val="auto"/>
                <w:sz w:val="22"/>
                <w:highlight w:val="none"/>
              </w:rPr>
              <w:t>2.技术支持：</w:t>
            </w:r>
          </w:p>
          <w:p>
            <w:pPr>
              <w:widowControl/>
              <w:spacing w:line="400" w:lineRule="exact"/>
              <w:ind w:firstLine="440" w:firstLineChars="200"/>
              <w:jc w:val="left"/>
              <w:rPr>
                <w:rFonts w:ascii="宋体" w:hAnsi="宋体" w:cs="宋体"/>
                <w:bCs/>
                <w:color w:val="auto"/>
                <w:sz w:val="22"/>
                <w:highlight w:val="none"/>
              </w:rPr>
            </w:pPr>
            <w:r>
              <w:rPr>
                <w:rFonts w:hint="eastAsia" w:ascii="宋体" w:hAnsi="宋体" w:cs="宋体"/>
                <w:bCs/>
                <w:color w:val="auto"/>
                <w:sz w:val="22"/>
                <w:highlight w:val="none"/>
              </w:rPr>
              <w:t>中标人应及时免费提供合同产品软件的升级，免费提供合同产品新功能和应用的资料。</w:t>
            </w:r>
          </w:p>
          <w:p>
            <w:pPr>
              <w:widowControl/>
              <w:spacing w:line="400" w:lineRule="exact"/>
              <w:jc w:val="left"/>
              <w:rPr>
                <w:rFonts w:ascii="宋体" w:hAnsi="宋体" w:cs="宋体"/>
                <w:bCs/>
                <w:color w:val="auto"/>
                <w:sz w:val="22"/>
                <w:highlight w:val="none"/>
              </w:rPr>
            </w:pPr>
            <w:r>
              <w:rPr>
                <w:rFonts w:hint="eastAsia" w:ascii="宋体" w:hAnsi="宋体" w:cs="宋体"/>
                <w:bCs/>
                <w:color w:val="auto"/>
                <w:sz w:val="22"/>
                <w:highlight w:val="none"/>
              </w:rPr>
              <w:t>3.安装调试（若需要安装调试）：</w:t>
            </w:r>
          </w:p>
          <w:p>
            <w:pPr>
              <w:widowControl/>
              <w:spacing w:line="400" w:lineRule="exact"/>
              <w:ind w:firstLine="220" w:firstLineChars="100"/>
              <w:jc w:val="left"/>
              <w:rPr>
                <w:rFonts w:ascii="宋体" w:hAnsi="宋体" w:cs="宋体"/>
                <w:bCs/>
                <w:color w:val="auto"/>
                <w:sz w:val="22"/>
                <w:highlight w:val="none"/>
              </w:rPr>
            </w:pPr>
            <w:r>
              <w:rPr>
                <w:rFonts w:hint="eastAsia" w:ascii="宋体" w:hAnsi="宋体" w:cs="宋体"/>
                <w:bCs/>
                <w:color w:val="auto"/>
                <w:sz w:val="22"/>
                <w:highlight w:val="none"/>
              </w:rPr>
              <w:t>3.1 安装地点：采购人指定地点。</w:t>
            </w:r>
          </w:p>
          <w:p>
            <w:pPr>
              <w:widowControl/>
              <w:spacing w:line="400" w:lineRule="exact"/>
              <w:ind w:firstLine="220" w:firstLineChars="100"/>
              <w:jc w:val="left"/>
              <w:rPr>
                <w:rFonts w:ascii="宋体" w:hAnsi="宋体" w:cs="宋体"/>
                <w:bCs/>
                <w:color w:val="auto"/>
                <w:sz w:val="22"/>
                <w:highlight w:val="none"/>
              </w:rPr>
            </w:pPr>
            <w:r>
              <w:rPr>
                <w:rFonts w:hint="eastAsia" w:ascii="宋体" w:hAnsi="宋体" w:cs="宋体"/>
                <w:bCs/>
                <w:color w:val="auto"/>
                <w:sz w:val="22"/>
                <w:highlight w:val="none"/>
              </w:rPr>
              <w:t>3.2 安装完成时间：接到采购人通知后在规定的时间内完成安装和调试，如在规定的时间内由于中标人的原因不能完成安装和调试，中标人应承担由此给采购人造成的损失。</w:t>
            </w:r>
          </w:p>
          <w:p>
            <w:pPr>
              <w:widowControl/>
              <w:spacing w:line="400" w:lineRule="exact"/>
              <w:ind w:firstLine="220" w:firstLineChars="100"/>
              <w:jc w:val="left"/>
              <w:rPr>
                <w:rFonts w:ascii="宋体" w:hAnsi="宋体" w:cs="宋体"/>
                <w:bCs/>
                <w:color w:val="auto"/>
                <w:sz w:val="22"/>
                <w:highlight w:val="none"/>
              </w:rPr>
            </w:pPr>
            <w:r>
              <w:rPr>
                <w:rFonts w:hint="eastAsia" w:ascii="宋体" w:hAnsi="宋体" w:cs="宋体"/>
                <w:bCs/>
                <w:color w:val="auto"/>
                <w:sz w:val="22"/>
                <w:highlight w:val="none"/>
              </w:rPr>
              <w:t>3.3 安装标准：符合我国国家有关技术规范要求和技术标准，所有的软件和硬件必须保证同时安装到位。</w:t>
            </w:r>
          </w:p>
          <w:p>
            <w:pPr>
              <w:widowControl/>
              <w:spacing w:line="400" w:lineRule="exact"/>
              <w:ind w:firstLine="220" w:firstLineChars="100"/>
              <w:jc w:val="left"/>
              <w:rPr>
                <w:rFonts w:ascii="宋体" w:hAnsi="宋体" w:cs="宋体"/>
                <w:bCs/>
                <w:color w:val="auto"/>
                <w:sz w:val="22"/>
                <w:highlight w:val="none"/>
              </w:rPr>
            </w:pPr>
            <w:r>
              <w:rPr>
                <w:rFonts w:hint="eastAsia" w:ascii="宋体" w:hAnsi="宋体" w:cs="宋体"/>
                <w:bCs/>
                <w:color w:val="auto"/>
                <w:sz w:val="22"/>
                <w:highlight w:val="none"/>
              </w:rPr>
              <w:t>3.4 中标人免费提供合同产品的安装服务。</w:t>
            </w:r>
          </w:p>
          <w:p>
            <w:pPr>
              <w:widowControl/>
              <w:spacing w:line="400" w:lineRule="exact"/>
              <w:ind w:firstLine="220" w:firstLineChars="100"/>
              <w:jc w:val="left"/>
              <w:rPr>
                <w:rFonts w:ascii="宋体" w:hAnsi="宋体" w:cs="宋体"/>
                <w:bCs/>
                <w:color w:val="auto"/>
                <w:sz w:val="22"/>
                <w:highlight w:val="none"/>
              </w:rPr>
            </w:pPr>
            <w:r>
              <w:rPr>
                <w:rFonts w:hint="eastAsia" w:ascii="宋体" w:hAnsi="宋体" w:cs="宋体"/>
                <w:bCs/>
                <w:color w:val="auto"/>
                <w:sz w:val="22"/>
                <w:highlight w:val="none"/>
              </w:rPr>
              <w:t>3.5 中标人在投标文件中应提供安装调试计划、对安装场地和环境的要求。</w:t>
            </w:r>
          </w:p>
          <w:p>
            <w:pPr>
              <w:spacing w:line="400" w:lineRule="exact"/>
              <w:outlineLvl w:val="1"/>
              <w:rPr>
                <w:rFonts w:ascii="宋体" w:hAnsi="宋体" w:cs="宋体"/>
                <w:b/>
                <w:bCs/>
                <w:color w:val="auto"/>
                <w:sz w:val="22"/>
                <w:highlight w:val="none"/>
              </w:rPr>
            </w:pPr>
            <w:bookmarkStart w:id="0" w:name="_Toc13803"/>
            <w:r>
              <w:rPr>
                <w:rFonts w:hint="eastAsia" w:ascii="宋体" w:hAnsi="宋体" w:cs="宋体"/>
                <w:bCs/>
                <w:color w:val="auto"/>
                <w:sz w:val="22"/>
                <w:highlight w:val="none"/>
              </w:rPr>
              <w:t>4.</w:t>
            </w:r>
            <w:r>
              <w:rPr>
                <w:rFonts w:hint="eastAsia" w:ascii="宋体" w:hAnsi="宋体" w:cs="宋体"/>
                <w:b/>
                <w:bCs/>
                <w:color w:val="auto"/>
                <w:sz w:val="22"/>
                <w:highlight w:val="none"/>
              </w:rPr>
              <w:t>保密义务</w:t>
            </w:r>
            <w:bookmarkEnd w:id="0"/>
          </w:p>
          <w:p>
            <w:pPr>
              <w:spacing w:line="400" w:lineRule="exact"/>
              <w:ind w:firstLine="220" w:firstLineChars="100"/>
              <w:rPr>
                <w:rFonts w:ascii="宋体" w:hAnsi="宋体" w:cs="宋体"/>
                <w:color w:val="auto"/>
                <w:sz w:val="22"/>
                <w:highlight w:val="none"/>
              </w:rPr>
            </w:pPr>
            <w:r>
              <w:rPr>
                <w:rFonts w:hint="eastAsia" w:ascii="宋体" w:hAnsi="宋体" w:cs="宋体"/>
                <w:color w:val="auto"/>
                <w:sz w:val="22"/>
                <w:highlight w:val="none"/>
              </w:rPr>
              <w:t>4.1 投标人有义务妥善保管和保护由采购人提供的信息和资料等；</w:t>
            </w:r>
          </w:p>
          <w:p>
            <w:pPr>
              <w:spacing w:line="400" w:lineRule="exact"/>
              <w:ind w:firstLine="220" w:firstLineChars="100"/>
              <w:rPr>
                <w:rFonts w:ascii="宋体" w:hAnsi="宋体" w:cs="宋体"/>
                <w:color w:val="auto"/>
                <w:sz w:val="22"/>
                <w:highlight w:val="none"/>
              </w:rPr>
            </w:pPr>
            <w:r>
              <w:rPr>
                <w:rFonts w:hint="eastAsia" w:ascii="宋体" w:hAnsi="宋体" w:cs="宋体"/>
                <w:color w:val="auto"/>
                <w:sz w:val="22"/>
                <w:highlight w:val="none"/>
              </w:rPr>
              <w:t>4.2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400" w:lineRule="exact"/>
              <w:outlineLvl w:val="1"/>
              <w:rPr>
                <w:rFonts w:ascii="宋体" w:hAnsi="宋体" w:cs="宋体"/>
                <w:color w:val="auto"/>
                <w:sz w:val="22"/>
                <w:highlight w:val="none"/>
              </w:rPr>
            </w:pPr>
            <w:bookmarkStart w:id="1" w:name="_Toc16681"/>
            <w:r>
              <w:rPr>
                <w:rFonts w:hint="eastAsia" w:ascii="宋体" w:hAnsi="宋体" w:cs="宋体"/>
                <w:color w:val="auto"/>
                <w:sz w:val="22"/>
                <w:highlight w:val="none"/>
              </w:rPr>
              <w:t>4.3保密违约责任：中标人未尽到相关保密义务，致保密信息和资料泄露的，采购人有权终止合同，并追究其由此造成的一切损失及法律责任。</w:t>
            </w:r>
            <w:bookmarkEnd w:id="1"/>
          </w:p>
          <w:p>
            <w:pPr>
              <w:spacing w:line="400" w:lineRule="exact"/>
              <w:outlineLvl w:val="1"/>
              <w:rPr>
                <w:rFonts w:ascii="宋体" w:hAnsi="宋体" w:cs="宋体"/>
                <w:b/>
                <w:bCs/>
                <w:color w:val="auto"/>
                <w:sz w:val="22"/>
                <w:highlight w:val="none"/>
              </w:rPr>
            </w:pPr>
            <w:bookmarkStart w:id="2" w:name="_Toc21833"/>
            <w:r>
              <w:rPr>
                <w:rFonts w:hint="eastAsia" w:ascii="宋体" w:hAnsi="宋体" w:cs="宋体"/>
                <w:color w:val="auto"/>
                <w:sz w:val="22"/>
                <w:highlight w:val="none"/>
              </w:rPr>
              <w:t>5.</w:t>
            </w:r>
            <w:r>
              <w:rPr>
                <w:rFonts w:hint="eastAsia" w:ascii="宋体" w:hAnsi="宋体" w:cs="宋体"/>
                <w:b/>
                <w:bCs/>
                <w:color w:val="auto"/>
                <w:sz w:val="22"/>
                <w:highlight w:val="none"/>
              </w:rPr>
              <w:t>专利权</w:t>
            </w:r>
            <w:bookmarkEnd w:id="2"/>
          </w:p>
          <w:p>
            <w:pPr>
              <w:spacing w:line="400" w:lineRule="exact"/>
              <w:ind w:firstLine="440" w:firstLineChars="200"/>
              <w:rPr>
                <w:rFonts w:ascii="宋体" w:hAnsi="宋体" w:cs="宋体"/>
                <w:bCs/>
                <w:color w:val="auto"/>
                <w:sz w:val="22"/>
                <w:highlight w:val="none"/>
              </w:rPr>
            </w:pPr>
            <w:r>
              <w:rPr>
                <w:rFonts w:hint="eastAsia" w:ascii="宋体" w:hAnsi="宋体" w:cs="宋体"/>
                <w:color w:val="auto"/>
                <w:sz w:val="22"/>
                <w:highlight w:val="none"/>
              </w:rPr>
              <w:t>中标人应保证，采购人在使用该产品或产品的任何一部分时，免受第三方提出的侵犯其专利权、商标权、著作权或其它知识产权的起诉。中标人应承担由此可能产生的一切法律责任和费用。</w:t>
            </w:r>
          </w:p>
        </w:tc>
      </w:tr>
    </w:tbl>
    <w:p>
      <w:pPr>
        <w:snapToGrid w:val="0"/>
        <w:spacing w:line="360" w:lineRule="exact"/>
        <w:rPr>
          <w:rFonts w:hint="eastAsia" w:ascii="宋体" w:hAnsi="宋体" w:cs="宋体"/>
          <w:b/>
          <w:bCs/>
          <w:color w:val="auto"/>
          <w:spacing w:val="-6"/>
          <w:sz w:val="22"/>
          <w:highlight w:val="none"/>
        </w:rPr>
      </w:pPr>
    </w:p>
    <w:p>
      <w:pPr>
        <w:numPr>
          <w:ilvl w:val="0"/>
          <w:numId w:val="2"/>
        </w:numPr>
        <w:snapToGrid w:val="0"/>
        <w:spacing w:line="360" w:lineRule="exact"/>
        <w:rPr>
          <w:rFonts w:hint="eastAsia" w:ascii="宋体" w:hAnsi="宋体" w:cs="宋体"/>
          <w:b/>
          <w:bCs/>
          <w:color w:val="auto"/>
          <w:spacing w:val="-6"/>
          <w:sz w:val="22"/>
          <w:highlight w:val="none"/>
        </w:rPr>
      </w:pPr>
      <w:r>
        <w:rPr>
          <w:rFonts w:hint="eastAsia" w:ascii="宋体" w:hAnsi="宋体" w:cs="宋体"/>
          <w:b/>
          <w:bCs/>
          <w:color w:val="auto"/>
          <w:spacing w:val="-6"/>
          <w:sz w:val="22"/>
          <w:highlight w:val="none"/>
        </w:rPr>
        <w:t>技术要求</w:t>
      </w:r>
    </w:p>
    <w:p>
      <w:pPr>
        <w:pStyle w:val="3"/>
        <w:rPr>
          <w:color w:val="auto"/>
          <w:sz w:val="22"/>
          <w:highlight w:val="none"/>
        </w:rPr>
      </w:pPr>
      <w:r>
        <w:rPr>
          <w:rFonts w:hint="eastAsia"/>
          <w:color w:val="auto"/>
          <w:sz w:val="22"/>
          <w:highlight w:val="none"/>
        </w:rPr>
        <w:t>项目背景：为深入贯彻落实中共中央《数字中国建设整体布局规划》、国务院办公厅《关于改革完善中央财政科研经费管理的若干意见》（国办发〔2021〕32号）、科技部等《关于开展减轻青年科研人员负担专项行动的通知》（国科发政〔2022〕214号）、国务院《关于优化科研管理提升绩效若干措施的通知》（国发〔2018〕25号）等文件精神，迫切需要搭建覆盖温州肯恩大学科研活动全过程的管理与服务信息化平台，支撑科研管理体制机制改革，简化各类科研报表和流程，推行网上科研办事，形成协同高效的网上科研管理服务体系。实现科研项目在线申报评审，完善阶段性科研成果和科学数据的管理存档，并通过科研与财务系统对接（相关对接费用需包含在总价内），推动科研财务协同和一站式网上科研服务，解决科研项目资金管理难、入账难、报销难、预算控制难等问题，把科研人员从繁杂的报表报销等具体事务中解脱出来，创新科研管理方式和服务模式，为全校科研人员提供一站式网上科研服务，尽快实现“最多跑一次”，为科研人员“松绑”，激发科研人员的积极性和创造性，形成激励创新、协同高效的科研、财务、人事管理体系。</w:t>
      </w:r>
    </w:p>
    <w:tbl>
      <w:tblPr>
        <w:tblStyle w:val="7"/>
        <w:tblW w:w="90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1187"/>
        <w:gridCol w:w="6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trPr>
        <w:tc>
          <w:tcPr>
            <w:tcW w:w="1194" w:type="dxa"/>
            <w:shd w:val="clear" w:color="auto" w:fill="F2F2F2"/>
            <w:noWrap w:val="0"/>
            <w:vAlign w:val="top"/>
          </w:tcPr>
          <w:p>
            <w:pPr>
              <w:widowControl/>
              <w:spacing w:line="360" w:lineRule="auto"/>
              <w:jc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rPr>
              <w:t>子项</w:t>
            </w:r>
          </w:p>
        </w:tc>
        <w:tc>
          <w:tcPr>
            <w:tcW w:w="1187" w:type="dxa"/>
            <w:shd w:val="clear" w:color="auto" w:fill="F2F2F2"/>
            <w:noWrap w:val="0"/>
            <w:vAlign w:val="top"/>
          </w:tcPr>
          <w:p>
            <w:pPr>
              <w:widowControl/>
              <w:spacing w:line="360" w:lineRule="auto"/>
              <w:jc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rPr>
              <w:t>功能模块</w:t>
            </w:r>
          </w:p>
        </w:tc>
        <w:tc>
          <w:tcPr>
            <w:tcW w:w="6657" w:type="dxa"/>
            <w:shd w:val="clear" w:color="auto" w:fill="F2F2F2"/>
            <w:noWrap w:val="0"/>
            <w:vAlign w:val="top"/>
          </w:tcPr>
          <w:p>
            <w:pPr>
              <w:widowControl/>
              <w:spacing w:line="360" w:lineRule="auto"/>
              <w:jc w:val="center"/>
              <w:rPr>
                <w:rFonts w:hint="eastAsia" w:ascii="宋体" w:hAnsi="宋体" w:cs="宋体"/>
                <w:b/>
                <w:bCs/>
                <w:color w:val="auto"/>
                <w:kern w:val="0"/>
                <w:sz w:val="22"/>
                <w:highlight w:val="none"/>
              </w:rPr>
            </w:pPr>
            <w:r>
              <w:rPr>
                <w:rFonts w:hint="eastAsia" w:ascii="宋体" w:hAnsi="宋体" w:cs="宋体"/>
                <w:b/>
                <w:bCs/>
                <w:color w:val="auto"/>
                <w:kern w:val="0"/>
                <w:sz w:val="22"/>
                <w:highlight w:val="none"/>
              </w:rPr>
              <w:t>需求描述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94" w:type="dxa"/>
            <w:noWrap w:val="0"/>
            <w:vAlign w:val="center"/>
          </w:tcPr>
          <w:p>
            <w:pPr>
              <w:widowControl/>
              <w:jc w:val="left"/>
              <w:rPr>
                <w:rFonts w:hint="eastAsia" w:ascii="宋体" w:hAnsi="宋体" w:cs="宋体"/>
                <w:color w:val="auto"/>
                <w:kern w:val="0"/>
                <w:sz w:val="22"/>
                <w:highlight w:val="none"/>
              </w:rPr>
            </w:pPr>
            <w:r>
              <w:rPr>
                <w:rFonts w:hint="eastAsia" w:ascii="宋体" w:hAnsi="宋体" w:cs="宋体"/>
                <w:color w:val="auto"/>
                <w:kern w:val="0"/>
                <w:sz w:val="22"/>
                <w:highlight w:val="none"/>
                <w:lang w:bidi="ar"/>
              </w:rPr>
              <w:t>双语界面</w:t>
            </w:r>
          </w:p>
        </w:tc>
        <w:tc>
          <w:tcPr>
            <w:tcW w:w="1187" w:type="dxa"/>
            <w:noWrap w:val="0"/>
            <w:vAlign w:val="center"/>
          </w:tcPr>
          <w:p>
            <w:pPr>
              <w:widowControl/>
              <w:jc w:val="left"/>
              <w:textAlignment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双语界面</w:t>
            </w:r>
          </w:p>
        </w:tc>
        <w:tc>
          <w:tcPr>
            <w:tcW w:w="6657" w:type="dxa"/>
            <w:noWrap w:val="0"/>
            <w:vAlign w:val="top"/>
          </w:tcPr>
          <w:p>
            <w:pPr>
              <w:widowControl/>
              <w:jc w:val="left"/>
              <w:textAlignment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1.所有功能模块均需提供中英文双语界面，所提供的英文界面翻译需精确；</w:t>
            </w:r>
          </w:p>
          <w:p>
            <w:pPr>
              <w:widowControl/>
              <w:jc w:val="left"/>
              <w:textAlignment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2.实现中英文双语灵活、及时切换功能；</w:t>
            </w:r>
          </w:p>
          <w:p>
            <w:pPr>
              <w:widowControl/>
              <w:jc w:val="left"/>
              <w:textAlignment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3.支持任何角色用户的中英文双语界面切换。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94" w:type="dxa"/>
            <w:vMerge w:val="restart"/>
            <w:noWrap w:val="0"/>
            <w:vAlign w:val="center"/>
          </w:tcPr>
          <w:p>
            <w:pPr>
              <w:widowControl/>
              <w:jc w:val="left"/>
              <w:textAlignment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项目管理</w:t>
            </w:r>
          </w:p>
        </w:tc>
        <w:tc>
          <w:tcPr>
            <w:tcW w:w="1187" w:type="dxa"/>
            <w:noWrap w:val="0"/>
            <w:vAlign w:val="center"/>
          </w:tcPr>
          <w:p>
            <w:pPr>
              <w:widowControl/>
              <w:jc w:val="left"/>
              <w:textAlignment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纵向项目</w:t>
            </w:r>
          </w:p>
        </w:tc>
        <w:tc>
          <w:tcPr>
            <w:tcW w:w="6657" w:type="dxa"/>
            <w:noWrap w:val="0"/>
            <w:vAlign w:val="center"/>
          </w:tcPr>
          <w:p>
            <w:pPr>
              <w:widowControl/>
              <w:jc w:val="left"/>
              <w:textAlignment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1.管理人员可对各级各类纵向项目进行精细化、差异化管理。包括项目申请、立项登记、中检变更、验收结项等管理，提供增、删、改、查、审、Excel批量导入导出以及统计分析等功能。</w:t>
            </w:r>
          </w:p>
          <w:p>
            <w:pPr>
              <w:widowControl/>
              <w:jc w:val="left"/>
              <w:textAlignment w:val="center"/>
              <w:rPr>
                <w:rFonts w:hint="eastAsia" w:ascii="宋体" w:hAnsi="宋体" w:cs="宋体"/>
                <w:b/>
                <w:bCs/>
                <w:color w:val="auto"/>
                <w:kern w:val="0"/>
                <w:sz w:val="22"/>
                <w:highlight w:val="none"/>
                <w:lang w:bidi="ar"/>
              </w:rPr>
            </w:pPr>
            <w:r>
              <w:rPr>
                <w:rFonts w:hint="eastAsia" w:ascii="宋体" w:hAnsi="宋体" w:cs="宋体"/>
                <w:b/>
                <w:bCs/>
                <w:color w:val="auto"/>
                <w:kern w:val="0"/>
                <w:sz w:val="22"/>
                <w:highlight w:val="none"/>
                <w:lang w:bidi="ar"/>
              </w:rPr>
              <w:t>2.项目申请</w:t>
            </w:r>
          </w:p>
          <w:p>
            <w:pPr>
              <w:widowControl/>
              <w:jc w:val="left"/>
              <w:textAlignment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a.项目申请：支持科研人员输入项目相关基本信息，并且上传指定格式的项目申请书及其他项目申请所需文件，填写时能够提示申请者该项目简介以及提供相关文件下载。</w:t>
            </w:r>
          </w:p>
          <w:p>
            <w:pPr>
              <w:widowControl/>
              <w:jc w:val="left"/>
              <w:textAlignment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b.校内预审核：对于没有统一申报系统的各级各类纵向项目，实现校内预审核功能，审核流程根据管理部门要求进行自定义。</w:t>
            </w:r>
          </w:p>
          <w:p>
            <w:pPr>
              <w:widowControl/>
              <w:jc w:val="left"/>
              <w:textAlignment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c.备份：实现申请记录、文件备份功能（15年）。</w:t>
            </w:r>
          </w:p>
          <w:p>
            <w:pPr>
              <w:widowControl/>
              <w:jc w:val="left"/>
              <w:textAlignment w:val="center"/>
              <w:rPr>
                <w:rFonts w:hint="eastAsia" w:ascii="宋体" w:hAnsi="宋体" w:cs="宋体"/>
                <w:b/>
                <w:bCs/>
                <w:color w:val="auto"/>
                <w:kern w:val="0"/>
                <w:sz w:val="22"/>
                <w:highlight w:val="none"/>
                <w:lang w:bidi="ar"/>
              </w:rPr>
            </w:pPr>
            <w:r>
              <w:rPr>
                <w:rFonts w:hint="eastAsia" w:ascii="宋体" w:hAnsi="宋体" w:cs="宋体"/>
                <w:b/>
                <w:bCs/>
                <w:color w:val="auto"/>
                <w:kern w:val="0"/>
                <w:sz w:val="22"/>
                <w:highlight w:val="none"/>
                <w:lang w:bidi="ar"/>
              </w:rPr>
              <w:t>3.立项管理</w:t>
            </w:r>
          </w:p>
          <w:p>
            <w:pPr>
              <w:widowControl/>
              <w:jc w:val="left"/>
              <w:textAlignment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a.基本信息录入：支持科研人员或管理人员录入立项项目相关基本信息，包括项目成员信息、预算信息（批复、配套、外拨）、合作单位信息等。</w:t>
            </w:r>
          </w:p>
          <w:p>
            <w:pPr>
              <w:widowControl/>
              <w:jc w:val="left"/>
              <w:textAlignment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b.项目申请书上传：实现各类格式的项目申请书上传、备份功能（15年）。</w:t>
            </w:r>
          </w:p>
          <w:p>
            <w:pPr>
              <w:widowControl/>
              <w:jc w:val="left"/>
              <w:textAlignment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c.数据导入：支持项目立项信息 Excel数据批量导入，可对导入数据完整性和有效性进行校验。</w:t>
            </w:r>
          </w:p>
          <w:p>
            <w:pPr>
              <w:widowControl/>
              <w:jc w:val="left"/>
              <w:textAlignment w:val="center"/>
              <w:rPr>
                <w:rFonts w:hint="eastAsia" w:ascii="宋体" w:hAnsi="宋体" w:eastAsia="宋体" w:cs="宋体"/>
                <w:color w:val="auto"/>
                <w:kern w:val="0"/>
                <w:sz w:val="22"/>
                <w:highlight w:val="none"/>
                <w:lang w:eastAsia="zh-CN" w:bidi="ar"/>
              </w:rPr>
            </w:pPr>
            <w:r>
              <w:rPr>
                <w:rFonts w:hint="eastAsia" w:ascii="宋体" w:hAnsi="宋体" w:cs="宋体"/>
                <w:color w:val="auto"/>
                <w:kern w:val="0"/>
                <w:sz w:val="22"/>
                <w:highlight w:val="none"/>
                <w:lang w:bidi="ar"/>
              </w:rPr>
              <w:t>d.支持国家自然科学基金项目PDF计划书批量解析导入，实现项目基本信息、成员信息、预算信息解析获取。</w:t>
            </w:r>
          </w:p>
          <w:p>
            <w:pPr>
              <w:widowControl/>
              <w:jc w:val="left"/>
              <w:textAlignment w:val="center"/>
              <w:rPr>
                <w:rFonts w:hint="eastAsia" w:ascii="宋体" w:hAnsi="宋体" w:cs="宋体"/>
                <w:color w:val="auto"/>
                <w:kern w:val="0"/>
                <w:sz w:val="22"/>
                <w:highlight w:val="none"/>
                <w:lang w:bidi="ar"/>
              </w:rPr>
            </w:pPr>
            <w:r>
              <w:rPr>
                <w:rFonts w:hint="eastAsia" w:ascii="宋体" w:hAnsi="宋体" w:cs="宋体"/>
                <w:b/>
                <w:bCs/>
                <w:color w:val="auto"/>
                <w:kern w:val="0"/>
                <w:sz w:val="22"/>
                <w:highlight w:val="none"/>
                <w:lang w:bidi="ar"/>
              </w:rPr>
              <w:t>4.变更管理</w:t>
            </w:r>
          </w:p>
          <w:p>
            <w:pPr>
              <w:widowControl/>
              <w:jc w:val="left"/>
              <w:textAlignment w:val="center"/>
              <w:rPr>
                <w:rFonts w:hint="eastAsia" w:ascii="宋体" w:hAnsi="宋体" w:eastAsia="宋体" w:cs="宋体"/>
                <w:color w:val="auto"/>
                <w:kern w:val="0"/>
                <w:sz w:val="22"/>
                <w:highlight w:val="none"/>
                <w:lang w:eastAsia="zh-CN" w:bidi="ar"/>
              </w:rPr>
            </w:pPr>
            <w:r>
              <w:rPr>
                <w:rFonts w:hint="eastAsia" w:ascii="宋体" w:hAnsi="宋体" w:cs="宋体"/>
                <w:color w:val="auto"/>
                <w:kern w:val="0"/>
                <w:sz w:val="22"/>
                <w:highlight w:val="none"/>
                <w:lang w:bidi="ar"/>
              </w:rPr>
              <w:t>a.变更申请提交：科研人员对其已立项的项目可提交包括项目委托、预算、成员、延期、中止等变更申请。</w:t>
            </w:r>
          </w:p>
          <w:p>
            <w:pPr>
              <w:widowControl/>
              <w:jc w:val="left"/>
              <w:textAlignment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b.审核及备案：管理员对科研人员提交的变更申请进行审核及备案，审核流程根据管理部门要求进行自定义。</w:t>
            </w:r>
          </w:p>
          <w:p>
            <w:pPr>
              <w:widowControl/>
              <w:jc w:val="left"/>
              <w:textAlignment w:val="center"/>
              <w:rPr>
                <w:rFonts w:hint="eastAsia" w:ascii="宋体" w:hAnsi="宋体" w:cs="宋体"/>
                <w:b/>
                <w:bCs/>
                <w:color w:val="auto"/>
                <w:kern w:val="0"/>
                <w:sz w:val="22"/>
                <w:highlight w:val="none"/>
                <w:lang w:bidi="ar"/>
              </w:rPr>
            </w:pPr>
            <w:r>
              <w:rPr>
                <w:rFonts w:hint="eastAsia" w:ascii="宋体" w:hAnsi="宋体" w:cs="宋体"/>
                <w:b/>
                <w:bCs/>
                <w:color w:val="auto"/>
                <w:kern w:val="0"/>
                <w:sz w:val="22"/>
                <w:highlight w:val="none"/>
                <w:lang w:bidi="ar"/>
              </w:rPr>
              <w:t>5.中检管理</w:t>
            </w:r>
          </w:p>
          <w:p>
            <w:pPr>
              <w:widowControl/>
              <w:jc w:val="left"/>
              <w:textAlignment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a.要求设置：管理部门可对项目中期检查的相关要求进行设置。</w:t>
            </w:r>
          </w:p>
          <w:p>
            <w:pPr>
              <w:widowControl/>
              <w:jc w:val="left"/>
              <w:textAlignment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b.材料提交：科研人员可提交中期检查所需的相关材料。</w:t>
            </w:r>
          </w:p>
          <w:p>
            <w:pPr>
              <w:widowControl/>
              <w:jc w:val="left"/>
              <w:textAlignment w:val="center"/>
              <w:rPr>
                <w:rFonts w:hint="eastAsia" w:ascii="宋体" w:hAnsi="宋体" w:eastAsia="宋体" w:cs="宋体"/>
                <w:color w:val="auto"/>
                <w:kern w:val="0"/>
                <w:sz w:val="22"/>
                <w:highlight w:val="none"/>
                <w:lang w:eastAsia="zh-CN" w:bidi="ar"/>
              </w:rPr>
            </w:pPr>
            <w:r>
              <w:rPr>
                <w:rFonts w:hint="eastAsia" w:ascii="宋体" w:hAnsi="宋体" w:cs="宋体"/>
                <w:color w:val="auto"/>
                <w:kern w:val="0"/>
                <w:sz w:val="22"/>
                <w:highlight w:val="none"/>
                <w:lang w:bidi="ar"/>
              </w:rPr>
              <w:t>c.审核：管理部门对科研人员上传的中期检查材料进行审核，审核流程根据管理部门要求进行自定义。</w:t>
            </w:r>
          </w:p>
          <w:p>
            <w:pPr>
              <w:widowControl/>
              <w:jc w:val="left"/>
              <w:textAlignment w:val="center"/>
              <w:rPr>
                <w:rFonts w:hint="eastAsia" w:ascii="宋体" w:hAnsi="宋体" w:cs="宋体"/>
                <w:color w:val="auto"/>
                <w:kern w:val="0"/>
                <w:sz w:val="22"/>
                <w:highlight w:val="none"/>
                <w:lang w:bidi="ar"/>
              </w:rPr>
            </w:pPr>
            <w:r>
              <w:rPr>
                <w:rFonts w:hint="eastAsia" w:ascii="宋体" w:hAnsi="宋体" w:cs="宋体"/>
                <w:b/>
                <w:bCs/>
                <w:color w:val="auto"/>
                <w:kern w:val="0"/>
                <w:sz w:val="22"/>
                <w:highlight w:val="none"/>
                <w:lang w:bidi="ar"/>
              </w:rPr>
              <w:t>6.结项管理</w:t>
            </w:r>
          </w:p>
          <w:p>
            <w:pPr>
              <w:widowControl/>
              <w:jc w:val="left"/>
              <w:textAlignment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a.项目结项提醒：支持项目验收前置提醒功能，可通过邮件发送项目结项验收相关通知。</w:t>
            </w:r>
          </w:p>
          <w:p>
            <w:pPr>
              <w:widowControl/>
              <w:jc w:val="left"/>
              <w:textAlignment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b.材料提交：科研人员可提交结项所需材料，以及相关成果。</w:t>
            </w:r>
          </w:p>
          <w:p>
            <w:pPr>
              <w:widowControl/>
              <w:jc w:val="left"/>
              <w:textAlignment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c.审核：管理部门对科研人员上传的结项材料进行审核，审核流程根据管理部门要求进行自定义。</w:t>
            </w:r>
          </w:p>
          <w:p>
            <w:pPr>
              <w:widowControl/>
              <w:jc w:val="left"/>
              <w:textAlignment w:val="center"/>
              <w:rPr>
                <w:rFonts w:hint="eastAsia" w:ascii="宋体" w:hAnsi="宋体" w:eastAsia="宋体" w:cs="宋体"/>
                <w:color w:val="auto"/>
                <w:kern w:val="0"/>
                <w:sz w:val="22"/>
                <w:highlight w:val="none"/>
                <w:lang w:eastAsia="zh-CN" w:bidi="ar"/>
              </w:rPr>
            </w:pPr>
            <w:r>
              <w:rPr>
                <w:rFonts w:hint="eastAsia" w:ascii="宋体" w:hAnsi="宋体" w:cs="宋体"/>
                <w:color w:val="auto"/>
                <w:kern w:val="0"/>
                <w:sz w:val="22"/>
                <w:highlight w:val="none"/>
                <w:lang w:bidi="ar"/>
              </w:rPr>
              <w:t>d.电子归档：实现对于结项材料的电子归档备份功能（15年）。</w:t>
            </w:r>
          </w:p>
          <w:p>
            <w:pPr>
              <w:widowControl/>
              <w:jc w:val="left"/>
              <w:textAlignment w:val="center"/>
              <w:rPr>
                <w:rFonts w:hint="eastAsia" w:ascii="宋体" w:hAnsi="宋体" w:cs="宋体"/>
                <w:color w:val="auto"/>
                <w:kern w:val="0"/>
                <w:sz w:val="22"/>
                <w:highlight w:val="none"/>
                <w:lang w:bidi="ar"/>
              </w:rPr>
            </w:pPr>
            <w:r>
              <w:rPr>
                <w:rFonts w:hint="eastAsia" w:ascii="宋体" w:hAnsi="宋体" w:cs="宋体"/>
                <w:b/>
                <w:bCs/>
                <w:color w:val="auto"/>
                <w:kern w:val="0"/>
                <w:sz w:val="22"/>
                <w:highlight w:val="none"/>
                <w:lang w:bidi="ar"/>
              </w:rPr>
              <w:t>7.分类管理</w:t>
            </w:r>
          </w:p>
          <w:p>
            <w:pPr>
              <w:widowControl/>
              <w:jc w:val="left"/>
              <w:textAlignment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a.项目分类：实现项目分类结构树的建立，配置各类项目级别、预算标准、经费建卡模式、预算拆分规则、费用提取方案及其编号规则。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94" w:type="dxa"/>
            <w:vMerge w:val="continue"/>
            <w:noWrap w:val="0"/>
            <w:vAlign w:val="center"/>
          </w:tcPr>
          <w:p>
            <w:pPr>
              <w:rPr>
                <w:rFonts w:hint="eastAsia" w:ascii="宋体" w:hAnsi="宋体" w:cs="宋体"/>
                <w:color w:val="auto"/>
                <w:kern w:val="0"/>
                <w:sz w:val="22"/>
                <w:highlight w:val="none"/>
              </w:rPr>
            </w:pPr>
          </w:p>
        </w:tc>
        <w:tc>
          <w:tcPr>
            <w:tcW w:w="1187" w:type="dxa"/>
            <w:noWrap w:val="0"/>
            <w:vAlign w:val="center"/>
          </w:tcPr>
          <w:p>
            <w:pPr>
              <w:widowControl/>
              <w:jc w:val="left"/>
              <w:textAlignment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横向项目</w:t>
            </w:r>
          </w:p>
        </w:tc>
        <w:tc>
          <w:tcPr>
            <w:tcW w:w="6657" w:type="dxa"/>
            <w:noWrap w:val="0"/>
            <w:vAlign w:val="center"/>
          </w:tcPr>
          <w:p>
            <w:pPr>
              <w:widowControl/>
              <w:jc w:val="left"/>
              <w:textAlignment w:val="center"/>
              <w:rPr>
                <w:rFonts w:hint="eastAsia" w:ascii="宋体" w:hAnsi="宋体" w:cs="宋体"/>
                <w:b/>
                <w:bCs/>
                <w:color w:val="auto"/>
                <w:kern w:val="0"/>
                <w:sz w:val="22"/>
                <w:highlight w:val="none"/>
                <w:lang w:bidi="ar"/>
              </w:rPr>
            </w:pPr>
            <w:r>
              <w:rPr>
                <w:rFonts w:hint="eastAsia" w:ascii="宋体" w:hAnsi="宋体" w:cs="宋体"/>
                <w:b/>
                <w:bCs/>
                <w:color w:val="auto"/>
                <w:kern w:val="0"/>
                <w:sz w:val="22"/>
                <w:highlight w:val="none"/>
                <w:lang w:bidi="ar"/>
              </w:rPr>
              <w:t>1. 数据对接</w:t>
            </w:r>
          </w:p>
          <w:p>
            <w:pPr>
              <w:widowControl/>
              <w:jc w:val="left"/>
              <w:textAlignment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a.财务系统通过判断属于科研相关横向项目的合同信息，将合同的基本信息数据与数据中心做对接(该部分对接费用包含在内)。科研系统通过与数据中心对接，接收合同相关数据，包括合同号，申请人，项目名称，金额等内容，以及合同相关附件。</w:t>
            </w:r>
          </w:p>
          <w:p>
            <w:pPr>
              <w:pStyle w:val="6"/>
              <w:ind w:left="0" w:firstLine="0" w:firstLineChars="0"/>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b.将接收到的合同相关数据同步到科研系统中，其中包含新立项数据以及变更数据。</w:t>
            </w:r>
          </w:p>
          <w:p>
            <w:pPr>
              <w:pStyle w:val="6"/>
              <w:ind w:left="0" w:firstLine="0" w:firstLineChars="0"/>
              <w:rPr>
                <w:rFonts w:hint="eastAsia" w:ascii="宋体" w:hAnsi="宋体" w:cs="宋体"/>
                <w:b/>
                <w:bCs/>
                <w:color w:val="auto"/>
                <w:kern w:val="0"/>
                <w:sz w:val="22"/>
                <w:highlight w:val="none"/>
                <w:lang w:bidi="ar"/>
              </w:rPr>
            </w:pPr>
            <w:r>
              <w:rPr>
                <w:rFonts w:hint="eastAsia" w:ascii="宋体" w:hAnsi="宋体" w:cs="宋体"/>
                <w:b/>
                <w:bCs/>
                <w:color w:val="auto"/>
                <w:kern w:val="0"/>
                <w:sz w:val="22"/>
                <w:highlight w:val="none"/>
                <w:lang w:bidi="ar"/>
              </w:rPr>
              <w:t>2. 立项管理</w:t>
            </w:r>
          </w:p>
          <w:p>
            <w:pPr>
              <w:widowControl/>
              <w:jc w:val="left"/>
              <w:textAlignment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a.基本信息录入：支持科研人员或管理人员手动录入立项项目相关基本信息，包括项目成员信息、预算信息（批复、配套、外拨）、合作单位信息等。若数据直接从财务系统对接环节抓取，则自动在科研系统中进行立项。</w:t>
            </w:r>
          </w:p>
          <w:p>
            <w:pPr>
              <w:widowControl/>
              <w:jc w:val="left"/>
              <w:textAlignment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b.项目申请书及相关合同上传：实现各类格式的项目申请书和相关合同上传、备份功能（15年）。</w:t>
            </w:r>
          </w:p>
          <w:p>
            <w:pPr>
              <w:widowControl/>
              <w:jc w:val="left"/>
              <w:textAlignment w:val="center"/>
              <w:rPr>
                <w:rFonts w:hint="eastAsia" w:ascii="宋体" w:hAnsi="宋体" w:eastAsia="宋体" w:cs="宋体"/>
                <w:color w:val="auto"/>
                <w:kern w:val="0"/>
                <w:sz w:val="22"/>
                <w:highlight w:val="none"/>
                <w:lang w:eastAsia="zh-CN" w:bidi="ar"/>
              </w:rPr>
            </w:pPr>
            <w:r>
              <w:rPr>
                <w:rFonts w:hint="eastAsia" w:ascii="宋体" w:hAnsi="宋体" w:cs="宋体"/>
                <w:color w:val="auto"/>
                <w:kern w:val="0"/>
                <w:sz w:val="22"/>
                <w:highlight w:val="none"/>
                <w:lang w:bidi="ar"/>
              </w:rPr>
              <w:t>c.数据导入：支持项目立项信息 Excel数据批量导入，可对导入数据完整性和有效性进行校验。</w:t>
            </w:r>
          </w:p>
          <w:p>
            <w:pPr>
              <w:widowControl/>
              <w:jc w:val="left"/>
              <w:textAlignment w:val="center"/>
              <w:rPr>
                <w:rFonts w:hint="eastAsia" w:ascii="宋体" w:hAnsi="宋体" w:eastAsia="宋体" w:cs="宋体"/>
                <w:color w:val="auto"/>
                <w:kern w:val="0"/>
                <w:sz w:val="22"/>
                <w:highlight w:val="none"/>
                <w:lang w:eastAsia="zh-CN" w:bidi="ar"/>
              </w:rPr>
            </w:pPr>
            <w:r>
              <w:rPr>
                <w:rFonts w:hint="eastAsia" w:ascii="宋体" w:hAnsi="宋体" w:cs="宋体"/>
                <w:b/>
                <w:bCs/>
                <w:color w:val="auto"/>
                <w:kern w:val="0"/>
                <w:sz w:val="22"/>
                <w:highlight w:val="none"/>
                <w:lang w:bidi="ar"/>
              </w:rPr>
              <w:t>3.合同备案管理：</w:t>
            </w:r>
            <w:r>
              <w:rPr>
                <w:rFonts w:hint="eastAsia" w:ascii="宋体" w:hAnsi="宋体" w:cs="宋体"/>
                <w:color w:val="auto"/>
                <w:kern w:val="0"/>
                <w:sz w:val="22"/>
                <w:highlight w:val="none"/>
                <w:lang w:bidi="ar"/>
              </w:rPr>
              <w:t>支持已签署合同登记备案，提供合同增、删、改、查、审、Excel导入导出以及统计分析功能。</w:t>
            </w:r>
          </w:p>
          <w:p>
            <w:pPr>
              <w:widowControl/>
              <w:jc w:val="left"/>
              <w:textAlignment w:val="center"/>
              <w:rPr>
                <w:rFonts w:hint="eastAsia" w:ascii="宋体" w:hAnsi="宋体" w:eastAsia="宋体" w:cs="宋体"/>
                <w:color w:val="auto"/>
                <w:kern w:val="0"/>
                <w:sz w:val="22"/>
                <w:highlight w:val="none"/>
                <w:lang w:eastAsia="zh-CN" w:bidi="ar"/>
              </w:rPr>
            </w:pPr>
            <w:r>
              <w:rPr>
                <w:rFonts w:hint="eastAsia" w:ascii="宋体" w:hAnsi="宋体" w:cs="宋体"/>
                <w:b/>
                <w:bCs/>
                <w:color w:val="auto"/>
                <w:kern w:val="0"/>
                <w:sz w:val="22"/>
                <w:highlight w:val="none"/>
                <w:lang w:bidi="ar"/>
              </w:rPr>
              <w:t>4.合同变更管理：</w:t>
            </w:r>
            <w:r>
              <w:rPr>
                <w:rFonts w:hint="eastAsia" w:ascii="宋体" w:hAnsi="宋体" w:cs="宋体"/>
                <w:color w:val="auto"/>
                <w:kern w:val="0"/>
                <w:sz w:val="22"/>
                <w:highlight w:val="none"/>
                <w:lang w:bidi="ar"/>
              </w:rPr>
              <w:t>若有相关变更数据传入，则需在科研系统中自动做相关变更数据处理。</w:t>
            </w:r>
          </w:p>
          <w:p>
            <w:pPr>
              <w:widowControl/>
              <w:jc w:val="left"/>
              <w:textAlignment w:val="center"/>
              <w:rPr>
                <w:rFonts w:hint="eastAsia" w:ascii="宋体" w:hAnsi="宋体" w:eastAsia="宋体" w:cs="宋体"/>
                <w:color w:val="auto"/>
                <w:kern w:val="0"/>
                <w:sz w:val="22"/>
                <w:highlight w:val="none"/>
                <w:lang w:eastAsia="zh-CN" w:bidi="ar"/>
              </w:rPr>
            </w:pPr>
            <w:r>
              <w:rPr>
                <w:rFonts w:hint="eastAsia" w:ascii="宋体" w:hAnsi="宋体" w:cs="宋体"/>
                <w:b/>
                <w:bCs/>
                <w:color w:val="auto"/>
                <w:kern w:val="0"/>
                <w:sz w:val="22"/>
                <w:highlight w:val="none"/>
                <w:lang w:bidi="ar"/>
              </w:rPr>
              <w:t>7.合作单位资质管理：</w:t>
            </w:r>
            <w:r>
              <w:rPr>
                <w:rFonts w:hint="eastAsia" w:ascii="宋体" w:hAnsi="宋体" w:cs="宋体"/>
                <w:color w:val="auto"/>
                <w:kern w:val="0"/>
                <w:sz w:val="22"/>
                <w:highlight w:val="none"/>
                <w:lang w:bidi="ar"/>
              </w:rPr>
              <w:t>合作单位基本信息和相关资质材料管理。</w:t>
            </w:r>
          </w:p>
          <w:p>
            <w:pPr>
              <w:widowControl/>
              <w:jc w:val="left"/>
              <w:textAlignment w:val="center"/>
              <w:rPr>
                <w:rFonts w:hint="eastAsia" w:ascii="宋体" w:hAnsi="宋体" w:cs="宋体"/>
                <w:color w:val="auto"/>
                <w:kern w:val="0"/>
                <w:sz w:val="22"/>
                <w:highlight w:val="none"/>
                <w:lang w:bidi="ar"/>
              </w:rPr>
            </w:pPr>
            <w:r>
              <w:rPr>
                <w:rFonts w:hint="eastAsia" w:ascii="宋体" w:hAnsi="宋体" w:cs="宋体"/>
                <w:b/>
                <w:bCs/>
                <w:color w:val="auto"/>
                <w:kern w:val="0"/>
                <w:sz w:val="22"/>
                <w:highlight w:val="none"/>
                <w:lang w:bidi="ar"/>
              </w:rPr>
              <w:t>8.合同分类管理：</w:t>
            </w:r>
            <w:r>
              <w:rPr>
                <w:rFonts w:hint="eastAsia" w:ascii="宋体" w:hAnsi="宋体" w:cs="宋体"/>
                <w:color w:val="auto"/>
                <w:kern w:val="0"/>
                <w:sz w:val="22"/>
                <w:highlight w:val="none"/>
                <w:lang w:bidi="ar"/>
              </w:rPr>
              <w:t>可设置合同类别，可上传和维护各类合同模板。</w:t>
            </w:r>
          </w:p>
          <w:p>
            <w:pPr>
              <w:pStyle w:val="6"/>
              <w:ind w:left="0" w:firstLine="0" w:firstLineChars="0"/>
              <w:rPr>
                <w:rFonts w:hint="eastAsia" w:ascii="宋体" w:hAnsi="宋体" w:cs="宋体"/>
                <w:color w:val="auto"/>
                <w:sz w:val="22"/>
                <w:highlight w:val="none"/>
              </w:rPr>
            </w:pPr>
            <w:r>
              <w:rPr>
                <w:rFonts w:hint="eastAsia" w:ascii="宋体" w:hAnsi="宋体" w:cs="宋体"/>
                <w:b/>
                <w:bCs/>
                <w:color w:val="auto"/>
                <w:kern w:val="0"/>
                <w:sz w:val="22"/>
                <w:highlight w:val="none"/>
                <w:lang w:bidi="ar"/>
              </w:rPr>
              <w:t>9.数据及审核：</w:t>
            </w:r>
            <w:r>
              <w:rPr>
                <w:rFonts w:hint="eastAsia" w:ascii="宋体" w:hAnsi="宋体" w:cs="宋体"/>
                <w:color w:val="auto"/>
                <w:kern w:val="0"/>
                <w:sz w:val="22"/>
                <w:highlight w:val="none"/>
                <w:lang w:bidi="ar"/>
              </w:rPr>
              <w:t>可上传各类备份文件，审核流程根据管理部门需求进行自定义（15年）。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1194" w:type="dxa"/>
            <w:vMerge w:val="continue"/>
            <w:noWrap w:val="0"/>
            <w:vAlign w:val="center"/>
          </w:tcPr>
          <w:p>
            <w:pPr>
              <w:rPr>
                <w:rFonts w:hint="eastAsia" w:ascii="宋体" w:hAnsi="宋体" w:cs="宋体"/>
                <w:color w:val="auto"/>
                <w:kern w:val="0"/>
                <w:sz w:val="22"/>
                <w:highlight w:val="none"/>
              </w:rPr>
            </w:pPr>
          </w:p>
        </w:tc>
        <w:tc>
          <w:tcPr>
            <w:tcW w:w="1187" w:type="dxa"/>
            <w:noWrap w:val="0"/>
            <w:vAlign w:val="center"/>
          </w:tcPr>
          <w:p>
            <w:pPr>
              <w:widowControl/>
              <w:textAlignment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校级项目</w:t>
            </w:r>
          </w:p>
        </w:tc>
        <w:tc>
          <w:tcPr>
            <w:tcW w:w="6657" w:type="dxa"/>
            <w:noWrap w:val="0"/>
            <w:vAlign w:val="center"/>
          </w:tcPr>
          <w:p>
            <w:pPr>
              <w:widowControl/>
              <w:jc w:val="left"/>
              <w:textAlignment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1.管理人员可对不同的校级项目进行精细化、差异化管理。包括项目申请、项目评审、立项登记、中检变更、验收结项等管理，提供增、删、改、查、审、Excel批量导入导出以及统计分析等功能。</w:t>
            </w:r>
          </w:p>
          <w:p>
            <w:pPr>
              <w:pStyle w:val="6"/>
              <w:ind w:left="0" w:firstLine="0" w:firstLineChars="0"/>
              <w:rPr>
                <w:rFonts w:hint="eastAsia" w:ascii="宋体" w:hAnsi="宋体" w:cs="宋体"/>
                <w:b/>
                <w:bCs/>
                <w:color w:val="auto"/>
                <w:kern w:val="0"/>
                <w:sz w:val="22"/>
                <w:highlight w:val="none"/>
                <w:lang w:bidi="ar"/>
              </w:rPr>
            </w:pPr>
            <w:r>
              <w:rPr>
                <w:rFonts w:hint="eastAsia" w:ascii="宋体" w:hAnsi="宋体" w:cs="宋体"/>
                <w:b/>
                <w:bCs/>
                <w:color w:val="auto"/>
                <w:kern w:val="0"/>
                <w:sz w:val="22"/>
                <w:highlight w:val="none"/>
                <w:lang w:bidi="ar"/>
              </w:rPr>
              <w:t>2.项目申请</w:t>
            </w:r>
          </w:p>
          <w:p>
            <w:pPr>
              <w:pStyle w:val="6"/>
              <w:ind w:left="0" w:firstLine="0" w:firstLineChars="0"/>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a.项目申报书分类：支持不同的校级科研项目申请，包括但不限于（夏季）师生拍档科研项目、校级教职工科研项目、国际科技合作项目、校级科研启动项目、伦理审查项目、学生参加学术会议资助项目等7种分类的校级项目申请，每种项目的申报格式以及项目评审方式各不相同。</w:t>
            </w:r>
          </w:p>
          <w:p>
            <w:pPr>
              <w:widowControl/>
              <w:jc w:val="left"/>
              <w:textAlignment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b.项目申请：支持根据不同项目，输入项目相关基本信息，并且上传指定格式的项目申请书及其他项目申请所需文件，填写时能够提示申请者该项目简介以及提供相关文件下载。支持申报时间区间的设定。</w:t>
            </w:r>
          </w:p>
          <w:p>
            <w:pPr>
              <w:pStyle w:val="6"/>
              <w:ind w:left="0" w:firstLine="0" w:firstLineChars="0"/>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c.项目申请信息修改、删除：支持项目申请人在项目申请开放期间，修改及删除相关信息。</w:t>
            </w:r>
          </w:p>
          <w:p>
            <w:pPr>
              <w:pStyle w:val="6"/>
              <w:ind w:left="0" w:firstLine="0" w:firstLineChars="0"/>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d.人员管理：不同分类的校级项目，可申报的人员对象不同，包括行政人员、科研人员及学生等不同角色，不同校级项目需按照人员角色进行判断分类。</w:t>
            </w:r>
          </w:p>
          <w:p>
            <w:pPr>
              <w:pStyle w:val="6"/>
              <w:ind w:left="0" w:firstLine="0" w:firstLineChars="0"/>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e.申报材料下载：支持对于不同科研项目的所有申报书及信息的批量下载，支持项目申报书附件的批量下载导出，且文件名支持指定格式命名。</w:t>
            </w:r>
          </w:p>
          <w:p>
            <w:pPr>
              <w:widowControl/>
              <w:jc w:val="left"/>
              <w:textAlignment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f.备份：实现申请记录、文件备份功能。</w:t>
            </w:r>
          </w:p>
          <w:p>
            <w:pPr>
              <w:pStyle w:val="6"/>
              <w:ind w:left="0" w:firstLine="0" w:firstLineChars="0"/>
              <w:rPr>
                <w:rFonts w:hint="eastAsia" w:ascii="宋体" w:hAnsi="宋体" w:cs="宋体"/>
                <w:b/>
                <w:bCs/>
                <w:color w:val="auto"/>
                <w:kern w:val="0"/>
                <w:sz w:val="22"/>
                <w:highlight w:val="none"/>
                <w:lang w:bidi="ar"/>
              </w:rPr>
            </w:pPr>
            <w:r>
              <w:rPr>
                <w:rFonts w:hint="eastAsia" w:ascii="宋体" w:hAnsi="宋体" w:cs="宋体"/>
                <w:b/>
                <w:bCs/>
                <w:color w:val="auto"/>
                <w:kern w:val="0"/>
                <w:sz w:val="22"/>
                <w:highlight w:val="none"/>
                <w:lang w:bidi="ar"/>
              </w:rPr>
              <w:t>3.项目评审</w:t>
            </w:r>
          </w:p>
          <w:p>
            <w:pPr>
              <w:pStyle w:val="6"/>
              <w:ind w:left="0" w:firstLine="0" w:firstLineChars="0"/>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a.项目评审：支持根据不同类别的科研项目以及不同的评审规则进行评审，审核流程支持根据管理部门要求进行自定义。评审专家能够登录系统对不同项目进行评分、评语。</w:t>
            </w:r>
          </w:p>
          <w:p>
            <w:pPr>
              <w:pStyle w:val="6"/>
              <w:ind w:left="0" w:firstLine="0" w:firstLineChars="0"/>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b.数据备份：评审专家的评语等信息需做备份留底。</w:t>
            </w:r>
          </w:p>
          <w:p>
            <w:pPr>
              <w:pStyle w:val="6"/>
              <w:ind w:left="0" w:firstLine="0" w:firstLineChars="0"/>
              <w:rPr>
                <w:rFonts w:hint="eastAsia" w:ascii="宋体" w:hAnsi="宋体" w:cs="宋体"/>
                <w:b/>
                <w:bCs/>
                <w:color w:val="auto"/>
                <w:kern w:val="0"/>
                <w:sz w:val="22"/>
                <w:highlight w:val="none"/>
                <w:lang w:bidi="ar"/>
              </w:rPr>
            </w:pPr>
            <w:r>
              <w:rPr>
                <w:rFonts w:hint="eastAsia" w:ascii="宋体" w:hAnsi="宋体" w:cs="宋体"/>
                <w:b/>
                <w:bCs/>
                <w:color w:val="auto"/>
                <w:kern w:val="0"/>
                <w:sz w:val="22"/>
                <w:highlight w:val="none"/>
                <w:lang w:bidi="ar"/>
              </w:rPr>
              <w:t>4.立项管理</w:t>
            </w:r>
          </w:p>
          <w:p>
            <w:pPr>
              <w:widowControl/>
              <w:jc w:val="left"/>
              <w:textAlignment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a.基本信息录入：支持科研人员或管理人员录入立项项目相关基本信息，包括项目成员信息、预算信息（批复、配套、外拨）、合作单位信息等。</w:t>
            </w:r>
          </w:p>
          <w:p>
            <w:pPr>
              <w:widowControl/>
              <w:jc w:val="left"/>
              <w:textAlignment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b.项目申请书上传：实现各类格式的项目申请书上传、备份功能。</w:t>
            </w:r>
          </w:p>
          <w:p>
            <w:pPr>
              <w:widowControl/>
              <w:jc w:val="left"/>
              <w:textAlignment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c.数据导入：支持项目立项信息 Excel数据批量导入，可对导入数据完整性和有效性进行校验。</w:t>
            </w:r>
          </w:p>
          <w:p>
            <w:pPr>
              <w:widowControl/>
              <w:jc w:val="left"/>
              <w:textAlignment w:val="center"/>
              <w:rPr>
                <w:rFonts w:hint="eastAsia" w:ascii="宋体" w:hAnsi="宋体" w:cs="宋体"/>
                <w:color w:val="auto"/>
                <w:kern w:val="0"/>
                <w:sz w:val="22"/>
                <w:highlight w:val="none"/>
                <w:lang w:bidi="ar"/>
              </w:rPr>
            </w:pPr>
            <w:r>
              <w:rPr>
                <w:rFonts w:hint="eastAsia" w:ascii="宋体" w:hAnsi="宋体" w:cs="宋体"/>
                <w:b/>
                <w:bCs/>
                <w:color w:val="auto"/>
                <w:kern w:val="0"/>
                <w:sz w:val="22"/>
                <w:highlight w:val="none"/>
                <w:lang w:bidi="ar"/>
              </w:rPr>
              <w:t>5.变更管理</w:t>
            </w:r>
          </w:p>
          <w:p>
            <w:pPr>
              <w:widowControl/>
              <w:jc w:val="left"/>
              <w:textAlignment w:val="center"/>
              <w:rPr>
                <w:rFonts w:hint="eastAsia" w:ascii="宋体" w:hAnsi="宋体" w:eastAsia="宋体" w:cs="宋体"/>
                <w:color w:val="auto"/>
                <w:kern w:val="0"/>
                <w:sz w:val="22"/>
                <w:highlight w:val="none"/>
                <w:lang w:eastAsia="zh-CN" w:bidi="ar"/>
              </w:rPr>
            </w:pPr>
            <w:r>
              <w:rPr>
                <w:rFonts w:hint="eastAsia" w:ascii="宋体" w:hAnsi="宋体" w:cs="宋体"/>
                <w:color w:val="auto"/>
                <w:kern w:val="0"/>
                <w:sz w:val="22"/>
                <w:highlight w:val="none"/>
                <w:lang w:bidi="ar"/>
              </w:rPr>
              <w:t>a.变更申请提交：科研人员对其已立项的项目可提交包括项目委托、预算、成员、延期、中止等变更申请。</w:t>
            </w:r>
          </w:p>
          <w:p>
            <w:pPr>
              <w:widowControl/>
              <w:jc w:val="left"/>
              <w:textAlignment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b.审核及备案：管理员对科研人员提交的变更申请进行审核及备案，审核流程根据管理部门要求进行自定义。</w:t>
            </w:r>
          </w:p>
          <w:p>
            <w:pPr>
              <w:widowControl/>
              <w:jc w:val="left"/>
              <w:textAlignment w:val="center"/>
              <w:rPr>
                <w:rFonts w:hint="eastAsia" w:ascii="宋体" w:hAnsi="宋体" w:cs="宋体"/>
                <w:b/>
                <w:bCs/>
                <w:color w:val="auto"/>
                <w:kern w:val="0"/>
                <w:sz w:val="22"/>
                <w:highlight w:val="none"/>
                <w:lang w:bidi="ar"/>
              </w:rPr>
            </w:pPr>
            <w:r>
              <w:rPr>
                <w:rFonts w:hint="eastAsia" w:ascii="宋体" w:hAnsi="宋体" w:cs="宋体"/>
                <w:b/>
                <w:bCs/>
                <w:color w:val="auto"/>
                <w:kern w:val="0"/>
                <w:sz w:val="22"/>
                <w:highlight w:val="none"/>
                <w:lang w:bidi="ar"/>
              </w:rPr>
              <w:t>6.中检管理</w:t>
            </w:r>
          </w:p>
          <w:p>
            <w:pPr>
              <w:widowControl/>
              <w:jc w:val="left"/>
              <w:textAlignment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a.要求设置：管理部门可对项目中期检查的相关要求进行设置。</w:t>
            </w:r>
          </w:p>
          <w:p>
            <w:pPr>
              <w:widowControl/>
              <w:jc w:val="left"/>
              <w:textAlignment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b.材料提交：科研人员可提交中期检查所需的相关材料。</w:t>
            </w:r>
          </w:p>
          <w:p>
            <w:pPr>
              <w:pStyle w:val="6"/>
              <w:ind w:left="0" w:firstLine="0" w:firstLineChars="0"/>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c.审核：管理部门对科研人员上传的中期检查材料进行审核，审核流程根据管理部门要求进行自定义。</w:t>
            </w:r>
          </w:p>
          <w:p>
            <w:pPr>
              <w:widowControl/>
              <w:jc w:val="left"/>
              <w:textAlignment w:val="center"/>
              <w:rPr>
                <w:rFonts w:hint="eastAsia" w:ascii="宋体" w:hAnsi="宋体" w:cs="宋体"/>
                <w:color w:val="auto"/>
                <w:kern w:val="0"/>
                <w:sz w:val="22"/>
                <w:highlight w:val="none"/>
                <w:lang w:bidi="ar"/>
              </w:rPr>
            </w:pPr>
            <w:r>
              <w:rPr>
                <w:rFonts w:hint="eastAsia" w:ascii="宋体" w:hAnsi="宋体" w:cs="宋体"/>
                <w:b/>
                <w:bCs/>
                <w:color w:val="auto"/>
                <w:kern w:val="0"/>
                <w:sz w:val="22"/>
                <w:highlight w:val="none"/>
                <w:lang w:bidi="ar"/>
              </w:rPr>
              <w:t>7.结项管理</w:t>
            </w:r>
          </w:p>
          <w:p>
            <w:pPr>
              <w:widowControl/>
              <w:jc w:val="left"/>
              <w:textAlignment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a.项目结项提醒：支持项目验收前置提醒功能，可通过邮件发送项目结项验收相关通知。</w:t>
            </w:r>
          </w:p>
          <w:p>
            <w:pPr>
              <w:widowControl/>
              <w:jc w:val="left"/>
              <w:textAlignment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b.材料提交：科研人员可提交结项所需材料，以及相关成果。</w:t>
            </w:r>
          </w:p>
          <w:p>
            <w:pPr>
              <w:widowControl/>
              <w:jc w:val="left"/>
              <w:textAlignment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c.审核：管理部门对科研人员上传的结项材料进行审核，审核流程根据管理部门要求进行自定义。</w:t>
            </w:r>
          </w:p>
          <w:p>
            <w:pPr>
              <w:widowControl/>
              <w:jc w:val="left"/>
              <w:textAlignment w:val="center"/>
              <w:rPr>
                <w:rFonts w:hint="eastAsia" w:ascii="宋体" w:hAnsi="宋体" w:eastAsia="宋体" w:cs="宋体"/>
                <w:color w:val="auto"/>
                <w:kern w:val="0"/>
                <w:sz w:val="22"/>
                <w:highlight w:val="none"/>
                <w:lang w:eastAsia="zh-CN" w:bidi="ar"/>
              </w:rPr>
            </w:pPr>
            <w:r>
              <w:rPr>
                <w:rFonts w:hint="eastAsia" w:ascii="宋体" w:hAnsi="宋体" w:cs="宋体"/>
                <w:color w:val="auto"/>
                <w:kern w:val="0"/>
                <w:sz w:val="22"/>
                <w:highlight w:val="none"/>
                <w:lang w:bidi="ar"/>
              </w:rPr>
              <w:t>d.电子归档：实现对于结项材料的电子归档备份功能（1</w:t>
            </w:r>
            <w:r>
              <w:rPr>
                <w:rFonts w:ascii="宋体" w:hAnsi="宋体" w:cs="宋体"/>
                <w:color w:val="auto"/>
                <w:kern w:val="0"/>
                <w:sz w:val="22"/>
                <w:highlight w:val="none"/>
                <w:lang w:bidi="ar"/>
              </w:rPr>
              <w:t>5</w:t>
            </w:r>
            <w:r>
              <w:rPr>
                <w:rFonts w:hint="eastAsia" w:ascii="宋体" w:hAnsi="宋体" w:cs="宋体"/>
                <w:color w:val="auto"/>
                <w:kern w:val="0"/>
                <w:sz w:val="22"/>
                <w:highlight w:val="none"/>
                <w:lang w:bidi="ar"/>
              </w:rPr>
              <w:t>年）。</w:t>
            </w:r>
          </w:p>
          <w:p>
            <w:pPr>
              <w:widowControl/>
              <w:jc w:val="left"/>
              <w:textAlignment w:val="center"/>
              <w:rPr>
                <w:rFonts w:hint="eastAsia" w:ascii="宋体" w:hAnsi="宋体" w:cs="宋体"/>
                <w:color w:val="auto"/>
                <w:kern w:val="0"/>
                <w:sz w:val="22"/>
                <w:highlight w:val="none"/>
                <w:lang w:bidi="ar"/>
              </w:rPr>
            </w:pPr>
            <w:r>
              <w:rPr>
                <w:rFonts w:hint="eastAsia" w:ascii="宋体" w:hAnsi="宋体" w:cs="宋体"/>
                <w:b/>
                <w:bCs/>
                <w:color w:val="auto"/>
                <w:kern w:val="0"/>
                <w:sz w:val="22"/>
                <w:highlight w:val="none"/>
                <w:lang w:bidi="ar"/>
              </w:rPr>
              <w:t>8.分类管理</w:t>
            </w:r>
          </w:p>
          <w:p>
            <w:pPr>
              <w:pStyle w:val="6"/>
              <w:ind w:left="0" w:firstLine="0" w:firstLineChars="0"/>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a.项目分类：实现项目分类结构树的建立，配置各类项目级别、预算标准、经费建卡模式、预算拆分规则、费用提取方案及其编号规则。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1194" w:type="dxa"/>
            <w:vMerge w:val="continue"/>
            <w:noWrap w:val="0"/>
            <w:vAlign w:val="center"/>
          </w:tcPr>
          <w:p>
            <w:pPr>
              <w:rPr>
                <w:rFonts w:hint="eastAsia" w:ascii="宋体" w:hAnsi="宋体" w:cs="宋体"/>
                <w:color w:val="auto"/>
                <w:kern w:val="0"/>
                <w:sz w:val="22"/>
                <w:highlight w:val="none"/>
              </w:rPr>
            </w:pPr>
          </w:p>
        </w:tc>
        <w:tc>
          <w:tcPr>
            <w:tcW w:w="1187" w:type="dxa"/>
            <w:noWrap w:val="0"/>
            <w:vAlign w:val="center"/>
          </w:tcPr>
          <w:p>
            <w:pPr>
              <w:widowControl/>
              <w:jc w:val="left"/>
              <w:textAlignment w:val="center"/>
              <w:rPr>
                <w:rFonts w:hint="eastAsia" w:ascii="宋体" w:hAnsi="宋体" w:cs="宋体"/>
                <w:color w:val="auto"/>
                <w:sz w:val="22"/>
                <w:highlight w:val="none"/>
              </w:rPr>
            </w:pPr>
            <w:r>
              <w:rPr>
                <w:rFonts w:hint="eastAsia" w:ascii="宋体" w:hAnsi="宋体" w:cs="宋体"/>
                <w:color w:val="auto"/>
                <w:kern w:val="0"/>
                <w:sz w:val="22"/>
                <w:highlight w:val="none"/>
                <w:lang w:bidi="ar"/>
              </w:rPr>
              <w:t>项目库</w:t>
            </w:r>
          </w:p>
        </w:tc>
        <w:tc>
          <w:tcPr>
            <w:tcW w:w="6657" w:type="dxa"/>
            <w:noWrap w:val="0"/>
            <w:vAlign w:val="top"/>
          </w:tcPr>
          <w:p>
            <w:pPr>
              <w:widowControl/>
              <w:textAlignment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1.支持各类科研项目（包括纵向、横向及校级项目）申请和立项结果的数据统计。</w:t>
            </w:r>
          </w:p>
          <w:p>
            <w:pPr>
              <w:widowControl/>
              <w:textAlignment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2.支持不同科研项目的申请数量以及最终立项结果的数据导入。</w:t>
            </w:r>
          </w:p>
          <w:p>
            <w:pPr>
              <w:pStyle w:val="6"/>
              <w:ind w:left="0" w:firstLine="0" w:firstLineChars="0"/>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3.登录系统后，可方便查看各时期项目的申请以及立项、拨付经费等相关数据。</w:t>
            </w:r>
          </w:p>
          <w:p>
            <w:pPr>
              <w:pStyle w:val="6"/>
              <w:ind w:left="0" w:firstLine="0" w:firstLineChars="0"/>
              <w:rPr>
                <w:rFonts w:hint="eastAsia" w:ascii="宋体" w:hAnsi="宋体" w:cs="宋体"/>
                <w:color w:val="auto"/>
                <w:kern w:val="0"/>
                <w:sz w:val="22"/>
                <w:highlight w:val="none"/>
              </w:rPr>
            </w:pPr>
            <w:r>
              <w:rPr>
                <w:rFonts w:hint="eastAsia" w:ascii="宋体" w:hAnsi="宋体" w:cs="宋体"/>
                <w:color w:val="auto"/>
                <w:kern w:val="0"/>
                <w:sz w:val="22"/>
                <w:highlight w:val="none"/>
                <w:lang w:bidi="ar"/>
              </w:rPr>
              <w:t>4.</w:t>
            </w:r>
            <w:r>
              <w:rPr>
                <w:rFonts w:hint="eastAsia" w:ascii="宋体" w:hAnsi="宋体" w:cs="宋体"/>
                <w:color w:val="auto"/>
                <w:kern w:val="0"/>
                <w:sz w:val="22"/>
                <w:highlight w:val="none"/>
              </w:rPr>
              <w:t xml:space="preserve"> 基于教育部年度科技、社科统计要求，</w:t>
            </w:r>
            <w:r>
              <w:rPr>
                <w:rFonts w:hint="eastAsia" w:ascii="宋体" w:hAnsi="宋体" w:cs="宋体"/>
                <w:color w:val="auto"/>
                <w:kern w:val="0"/>
                <w:sz w:val="22"/>
                <w:highlight w:val="none"/>
                <w:lang w:bidi="ar"/>
              </w:rPr>
              <w:t>支持教育部科技/社科统计，可生成科技/社科统计所需的人员、项目、成果等数据，科技统计可通过基础数据直接导出基础数据报表，社科统计可</w:t>
            </w:r>
            <w:r>
              <w:rPr>
                <w:rFonts w:hint="eastAsia" w:ascii="宋体" w:hAnsi="宋体" w:cs="宋体"/>
                <w:color w:val="auto"/>
                <w:kern w:val="0"/>
                <w:sz w:val="22"/>
                <w:highlight w:val="none"/>
              </w:rPr>
              <w:t>导出教育部社科统计数据表，实现学校科研日常管理数据和教育部年度科研统计工作的无缝对接。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94" w:type="dxa"/>
            <w:vMerge w:val="restart"/>
            <w:noWrap w:val="0"/>
            <w:vAlign w:val="center"/>
          </w:tcPr>
          <w:p>
            <w:pPr>
              <w:widowControl/>
              <w:jc w:val="left"/>
              <w:textAlignment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绩效统计</w:t>
            </w:r>
          </w:p>
        </w:tc>
        <w:tc>
          <w:tcPr>
            <w:tcW w:w="1187" w:type="dxa"/>
            <w:noWrap w:val="0"/>
            <w:vAlign w:val="center"/>
          </w:tcPr>
          <w:p>
            <w:pPr>
              <w:widowControl/>
              <w:jc w:val="left"/>
              <w:textAlignment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科研成果</w:t>
            </w:r>
          </w:p>
        </w:tc>
        <w:tc>
          <w:tcPr>
            <w:tcW w:w="6657" w:type="dxa"/>
            <w:noWrap w:val="0"/>
            <w:vAlign w:val="center"/>
          </w:tcPr>
          <w:p>
            <w:pPr>
              <w:widowControl/>
              <w:jc w:val="left"/>
              <w:textAlignment w:val="center"/>
              <w:rPr>
                <w:rFonts w:hint="eastAsia" w:ascii="宋体" w:hAnsi="宋体" w:cs="宋体"/>
                <w:b/>
                <w:bCs/>
                <w:color w:val="auto"/>
                <w:kern w:val="0"/>
                <w:sz w:val="22"/>
                <w:highlight w:val="none"/>
                <w:lang w:bidi="ar"/>
              </w:rPr>
            </w:pPr>
            <w:r>
              <w:rPr>
                <w:rFonts w:hint="eastAsia" w:ascii="宋体" w:hAnsi="宋体" w:cs="宋体"/>
                <w:b/>
                <w:bCs/>
                <w:color w:val="auto"/>
                <w:kern w:val="0"/>
                <w:sz w:val="22"/>
                <w:highlight w:val="none"/>
                <w:lang w:bidi="ar"/>
              </w:rPr>
              <w:t>1.论文登记</w:t>
            </w:r>
          </w:p>
          <w:p>
            <w:pPr>
              <w:widowControl/>
              <w:jc w:val="left"/>
              <w:textAlignment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a.数据导入:支持指定格式内容的论文信息批量导入,管理部门及科研人员均可根据指定格式批量导入内容，并支持从外部数据源进行数据读取导入，并可对导入数据完整性和有效性进行校验。</w:t>
            </w:r>
          </w:p>
          <w:p>
            <w:pPr>
              <w:widowControl/>
              <w:jc w:val="left"/>
              <w:textAlignment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b.在线登记:支持科研人员在系统内自行登记相关论文信息。</w:t>
            </w:r>
          </w:p>
          <w:p>
            <w:pPr>
              <w:widowControl/>
              <w:jc w:val="left"/>
              <w:textAlignment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c.中文期刊论文认领:支持通过国内相关数据源匹配，给科研人员推送论文数据，可在系统中进行认领操作。</w:t>
            </w:r>
          </w:p>
          <w:p>
            <w:pPr>
              <w:widowControl/>
              <w:jc w:val="left"/>
              <w:textAlignment w:val="center"/>
              <w:rPr>
                <w:rFonts w:hint="eastAsia" w:ascii="宋体" w:hAnsi="宋体" w:cs="宋体"/>
                <w:b/>
                <w:bCs/>
                <w:color w:val="auto"/>
                <w:kern w:val="0"/>
                <w:sz w:val="22"/>
                <w:highlight w:val="none"/>
                <w:lang w:bidi="ar"/>
              </w:rPr>
            </w:pPr>
            <w:r>
              <w:rPr>
                <w:rFonts w:hint="eastAsia" w:ascii="宋体" w:hAnsi="宋体" w:cs="宋体"/>
                <w:b/>
                <w:bCs/>
                <w:color w:val="auto"/>
                <w:kern w:val="0"/>
                <w:sz w:val="22"/>
                <w:highlight w:val="none"/>
                <w:lang w:bidi="ar"/>
              </w:rPr>
              <w:t>2.论文审核</w:t>
            </w:r>
          </w:p>
          <w:p>
            <w:pPr>
              <w:widowControl/>
              <w:jc w:val="left"/>
              <w:textAlignment w:val="center"/>
              <w:rPr>
                <w:rFonts w:hint="eastAsia" w:ascii="宋体" w:hAnsi="宋体" w:eastAsia="宋体" w:cs="宋体"/>
                <w:color w:val="auto"/>
                <w:kern w:val="0"/>
                <w:sz w:val="22"/>
                <w:highlight w:val="none"/>
                <w:lang w:eastAsia="zh-CN" w:bidi="ar"/>
              </w:rPr>
            </w:pPr>
            <w:r>
              <w:rPr>
                <w:rFonts w:hint="eastAsia" w:ascii="宋体" w:hAnsi="宋体" w:cs="宋体"/>
                <w:color w:val="auto"/>
                <w:kern w:val="0"/>
                <w:sz w:val="22"/>
                <w:highlight w:val="none"/>
                <w:lang w:bidi="ar"/>
              </w:rPr>
              <w:t>a.支持管理部门对于科研人员（教职工）在系统内自行登记的论文信息进行审核，以便用于科研绩效统计。</w:t>
            </w:r>
          </w:p>
          <w:p>
            <w:pPr>
              <w:widowControl/>
              <w:jc w:val="left"/>
              <w:textAlignment w:val="center"/>
              <w:rPr>
                <w:rFonts w:hint="eastAsia" w:ascii="宋体" w:hAnsi="宋体" w:cs="宋体"/>
                <w:color w:val="auto"/>
                <w:kern w:val="0"/>
                <w:sz w:val="22"/>
                <w:highlight w:val="none"/>
                <w:lang w:bidi="ar"/>
              </w:rPr>
            </w:pPr>
            <w:r>
              <w:rPr>
                <w:rFonts w:hint="eastAsia" w:ascii="宋体" w:hAnsi="宋体" w:cs="宋体"/>
                <w:b/>
                <w:bCs/>
                <w:color w:val="auto"/>
                <w:kern w:val="0"/>
                <w:sz w:val="22"/>
                <w:highlight w:val="none"/>
                <w:lang w:bidi="ar"/>
              </w:rPr>
              <w:t>3.论文库</w:t>
            </w:r>
          </w:p>
          <w:p>
            <w:pPr>
              <w:widowControl/>
              <w:jc w:val="left"/>
              <w:textAlignment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a.论文查询：支持根据不同搜索条件，对在系统内登记的相关论文进行查询。</w:t>
            </w:r>
          </w:p>
          <w:p>
            <w:pPr>
              <w:widowControl/>
              <w:jc w:val="left"/>
              <w:textAlignment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b.导出及分析:支持根据不同条件进行数据的导出，以及统计分析。</w:t>
            </w:r>
          </w:p>
          <w:p>
            <w:pPr>
              <w:widowControl/>
              <w:jc w:val="left"/>
              <w:textAlignment w:val="center"/>
              <w:rPr>
                <w:rFonts w:hint="eastAsia" w:ascii="宋体" w:hAnsi="宋体" w:cs="宋体"/>
                <w:b/>
                <w:bCs/>
                <w:color w:val="auto"/>
                <w:kern w:val="0"/>
                <w:sz w:val="22"/>
                <w:highlight w:val="none"/>
                <w:lang w:bidi="ar"/>
              </w:rPr>
            </w:pPr>
            <w:r>
              <w:rPr>
                <w:rFonts w:hint="eastAsia" w:ascii="宋体" w:hAnsi="宋体" w:cs="宋体"/>
                <w:b/>
                <w:bCs/>
                <w:color w:val="auto"/>
                <w:kern w:val="0"/>
                <w:sz w:val="22"/>
                <w:highlight w:val="none"/>
                <w:lang w:bidi="ar"/>
              </w:rPr>
              <w:t>4.数据管理</w:t>
            </w:r>
          </w:p>
          <w:p>
            <w:pPr>
              <w:widowControl/>
              <w:jc w:val="left"/>
              <w:textAlignment w:val="center"/>
              <w:rPr>
                <w:rFonts w:hint="eastAsia" w:ascii="宋体" w:hAnsi="宋体" w:eastAsia="宋体" w:cs="宋体"/>
                <w:color w:val="auto"/>
                <w:kern w:val="0"/>
                <w:sz w:val="22"/>
                <w:highlight w:val="none"/>
                <w:lang w:eastAsia="zh-CN" w:bidi="ar"/>
              </w:rPr>
            </w:pPr>
            <w:r>
              <w:rPr>
                <w:rFonts w:hint="eastAsia" w:ascii="宋体" w:hAnsi="宋体" w:cs="宋体"/>
                <w:color w:val="auto"/>
                <w:kern w:val="0"/>
                <w:sz w:val="22"/>
                <w:highlight w:val="none"/>
                <w:lang w:bidi="ar"/>
              </w:rPr>
              <w:t>a.支持期刊源创建及管理，支持刊物级别设定，并与论文库中的论文数据自动进行匹配。</w:t>
            </w:r>
          </w:p>
          <w:p>
            <w:pPr>
              <w:widowControl/>
              <w:jc w:val="left"/>
              <w:textAlignment w:val="center"/>
              <w:rPr>
                <w:rFonts w:ascii="宋体" w:hAnsi="宋体" w:cs="宋体"/>
                <w:color w:val="auto"/>
                <w:kern w:val="0"/>
                <w:sz w:val="22"/>
                <w:highlight w:val="none"/>
                <w:lang w:bidi="ar"/>
              </w:rPr>
            </w:pPr>
            <w:r>
              <w:rPr>
                <w:rFonts w:hint="eastAsia" w:ascii="宋体" w:hAnsi="宋体" w:cs="宋体"/>
                <w:color w:val="auto"/>
                <w:kern w:val="0"/>
                <w:sz w:val="22"/>
                <w:highlight w:val="none"/>
                <w:lang w:bidi="ar"/>
              </w:rPr>
              <w:t>b.支持著作、研究报告、鉴定成果、艺术作品等成果信息登记、审核、查询、导入导出以及统计分析。c</w:t>
            </w:r>
            <w:r>
              <w:rPr>
                <w:rFonts w:ascii="宋体" w:hAnsi="宋体" w:cs="宋体"/>
                <w:color w:val="auto"/>
                <w:kern w:val="0"/>
                <w:sz w:val="22"/>
                <w:highlight w:val="none"/>
                <w:lang w:bidi="ar"/>
              </w:rPr>
              <w:t>.</w:t>
            </w:r>
            <w:r>
              <w:rPr>
                <w:rFonts w:hint="eastAsia" w:ascii="宋体" w:hAnsi="宋体" w:cs="宋体"/>
                <w:color w:val="auto"/>
                <w:kern w:val="0"/>
                <w:sz w:val="22"/>
                <w:highlight w:val="none"/>
                <w:lang w:bidi="ar"/>
              </w:rPr>
              <w:t>支持通过输入对应成果所得绩效分，系统计算出总奖励金额。</w:t>
            </w:r>
          </w:p>
          <w:p>
            <w:pPr>
              <w:pStyle w:val="6"/>
              <w:ind w:left="440" w:hanging="440"/>
              <w:rPr>
                <w:rFonts w:ascii="宋体" w:hAnsi="宋体" w:cs="宋体"/>
                <w:color w:val="auto"/>
                <w:kern w:val="0"/>
                <w:sz w:val="22"/>
                <w:highlight w:val="none"/>
                <w:lang w:bidi="ar"/>
              </w:rPr>
            </w:pPr>
            <w:r>
              <w:rPr>
                <w:rFonts w:hint="eastAsia" w:ascii="宋体" w:hAnsi="宋体" w:cs="宋体"/>
                <w:color w:val="auto"/>
                <w:kern w:val="0"/>
                <w:sz w:val="22"/>
                <w:highlight w:val="none"/>
                <w:lang w:bidi="ar"/>
              </w:rPr>
              <w:t>d</w:t>
            </w:r>
            <w:r>
              <w:rPr>
                <w:rFonts w:ascii="宋体" w:hAnsi="宋体" w:cs="宋体"/>
                <w:color w:val="auto"/>
                <w:kern w:val="0"/>
                <w:sz w:val="22"/>
                <w:highlight w:val="none"/>
                <w:lang w:bidi="ar"/>
              </w:rPr>
              <w:t>.</w:t>
            </w:r>
            <w:r>
              <w:rPr>
                <w:rFonts w:hint="eastAsia" w:ascii="宋体" w:hAnsi="宋体" w:cs="宋体"/>
                <w:color w:val="auto"/>
                <w:kern w:val="0"/>
                <w:sz w:val="22"/>
                <w:highlight w:val="none"/>
                <w:lang w:bidi="ar"/>
              </w:rPr>
              <w:t>科研人员录入的数据支持相似度预警，可根据论文题目、发表日</w:t>
            </w:r>
          </w:p>
          <w:p>
            <w:pPr>
              <w:pStyle w:val="6"/>
              <w:ind w:left="440" w:hanging="440"/>
              <w:rPr>
                <w:rFonts w:ascii="宋体" w:hAnsi="宋体" w:cs="宋体"/>
                <w:color w:val="auto"/>
                <w:kern w:val="0"/>
                <w:sz w:val="22"/>
                <w:highlight w:val="none"/>
                <w:lang w:bidi="ar"/>
              </w:rPr>
            </w:pPr>
            <w:r>
              <w:rPr>
                <w:rFonts w:hint="eastAsia" w:ascii="宋体" w:hAnsi="宋体" w:cs="宋体"/>
                <w:color w:val="auto"/>
                <w:kern w:val="0"/>
                <w:sz w:val="22"/>
                <w:highlight w:val="none"/>
                <w:lang w:bidi="ar"/>
              </w:rPr>
              <w:t>期及期刊的相似度，做到相似度预警，避免同一文章多次录入的情</w:t>
            </w:r>
          </w:p>
          <w:p>
            <w:pPr>
              <w:pStyle w:val="6"/>
              <w:ind w:left="440" w:hanging="440"/>
              <w:rPr>
                <w:rFonts w:ascii="宋体" w:hAnsi="宋体" w:cs="宋体"/>
                <w:color w:val="auto"/>
                <w:kern w:val="0"/>
                <w:sz w:val="22"/>
                <w:highlight w:val="none"/>
                <w:lang w:bidi="ar"/>
              </w:rPr>
            </w:pPr>
            <w:r>
              <w:rPr>
                <w:rFonts w:hint="eastAsia" w:ascii="宋体" w:hAnsi="宋体" w:cs="宋体"/>
                <w:color w:val="auto"/>
                <w:kern w:val="0"/>
                <w:sz w:val="22"/>
                <w:highlight w:val="none"/>
                <w:lang w:bidi="ar"/>
              </w:rPr>
              <w:t>况。</w:t>
            </w:r>
          </w:p>
          <w:p>
            <w:pPr>
              <w:pStyle w:val="6"/>
              <w:ind w:left="440" w:hanging="440"/>
              <w:rPr>
                <w:rFonts w:ascii="仿宋" w:hAnsi="仿宋" w:cs="仿宋"/>
                <w:color w:val="auto"/>
                <w:sz w:val="22"/>
                <w:highlight w:val="none"/>
              </w:rPr>
            </w:pPr>
            <w:r>
              <w:rPr>
                <w:rFonts w:hint="eastAsia" w:ascii="宋体" w:hAnsi="宋体" w:cs="宋体"/>
                <w:color w:val="auto"/>
                <w:kern w:val="0"/>
                <w:sz w:val="22"/>
                <w:highlight w:val="none"/>
                <w:lang w:bidi="ar"/>
              </w:rPr>
              <w:t>e</w:t>
            </w:r>
            <w:r>
              <w:rPr>
                <w:rFonts w:ascii="宋体" w:hAnsi="宋体" w:cs="宋体"/>
                <w:color w:val="auto"/>
                <w:kern w:val="0"/>
                <w:sz w:val="22"/>
                <w:highlight w:val="none"/>
                <w:lang w:bidi="ar"/>
              </w:rPr>
              <w:t>.</w:t>
            </w:r>
            <w:r>
              <w:rPr>
                <w:rFonts w:hint="eastAsia" w:ascii="宋体" w:hAnsi="宋体" w:cs="宋体"/>
                <w:color w:val="auto"/>
                <w:kern w:val="0"/>
                <w:sz w:val="22"/>
                <w:highlight w:val="none"/>
                <w:lang w:bidi="ar"/>
              </w:rPr>
              <w:t xml:space="preserve"> </w:t>
            </w:r>
            <w:r>
              <w:rPr>
                <w:rFonts w:hint="eastAsia" w:ascii="仿宋" w:hAnsi="仿宋" w:cs="仿宋"/>
                <w:color w:val="auto"/>
                <w:sz w:val="22"/>
                <w:highlight w:val="none"/>
              </w:rPr>
              <w:t>支持全校科研整体态势分析。支持对学校教师数据统计分析，并</w:t>
            </w:r>
          </w:p>
          <w:p>
            <w:pPr>
              <w:pStyle w:val="6"/>
              <w:ind w:left="440" w:hanging="440"/>
              <w:rPr>
                <w:rFonts w:ascii="仿宋" w:hAnsi="仿宋" w:cs="仿宋"/>
                <w:color w:val="auto"/>
                <w:sz w:val="22"/>
                <w:highlight w:val="none"/>
              </w:rPr>
            </w:pPr>
            <w:r>
              <w:rPr>
                <w:rFonts w:hint="eastAsia" w:ascii="仿宋" w:hAnsi="仿宋" w:cs="仿宋"/>
                <w:color w:val="auto"/>
                <w:sz w:val="22"/>
                <w:highlight w:val="none"/>
              </w:rPr>
              <w:t>提供个人科研数据统计分析及学院数据统计分析，统计分析内容包</w:t>
            </w:r>
          </w:p>
          <w:p>
            <w:pPr>
              <w:pStyle w:val="6"/>
              <w:ind w:left="440" w:hanging="440"/>
              <w:rPr>
                <w:rFonts w:ascii="仿宋" w:hAnsi="仿宋" w:cs="仿宋"/>
                <w:color w:val="auto"/>
                <w:sz w:val="22"/>
                <w:highlight w:val="none"/>
              </w:rPr>
            </w:pPr>
            <w:r>
              <w:rPr>
                <w:rFonts w:hint="eastAsia" w:ascii="仿宋" w:hAnsi="仿宋" w:cs="仿宋"/>
                <w:color w:val="auto"/>
                <w:sz w:val="22"/>
                <w:highlight w:val="none"/>
              </w:rPr>
              <w:t>括：科研趋势分析（历年项目数情况、成果年度变化情况）、科研</w:t>
            </w:r>
          </w:p>
          <w:p>
            <w:pPr>
              <w:pStyle w:val="6"/>
              <w:ind w:left="440" w:hanging="440"/>
              <w:rPr>
                <w:rFonts w:hint="eastAsia" w:ascii="宋体" w:hAnsi="宋体" w:cs="宋体"/>
                <w:color w:val="auto"/>
                <w:kern w:val="0"/>
                <w:sz w:val="22"/>
                <w:highlight w:val="none"/>
                <w:lang w:bidi="ar"/>
              </w:rPr>
            </w:pPr>
            <w:r>
              <w:rPr>
                <w:rFonts w:hint="eastAsia" w:ascii="仿宋" w:hAnsi="仿宋" w:cs="仿宋"/>
                <w:color w:val="auto"/>
                <w:sz w:val="22"/>
                <w:highlight w:val="none"/>
              </w:rPr>
              <w:t>项目分析、奖励奖项分析、研究主题分析。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94" w:type="dxa"/>
            <w:vMerge w:val="continue"/>
            <w:noWrap w:val="0"/>
            <w:vAlign w:val="center"/>
          </w:tcPr>
          <w:p>
            <w:pPr>
              <w:jc w:val="left"/>
              <w:rPr>
                <w:rFonts w:hint="eastAsia" w:ascii="宋体" w:hAnsi="宋体" w:cs="宋体"/>
                <w:color w:val="auto"/>
                <w:kern w:val="0"/>
                <w:sz w:val="22"/>
                <w:highlight w:val="none"/>
              </w:rPr>
            </w:pPr>
          </w:p>
        </w:tc>
        <w:tc>
          <w:tcPr>
            <w:tcW w:w="1187" w:type="dxa"/>
            <w:noWrap w:val="0"/>
            <w:vAlign w:val="center"/>
          </w:tcPr>
          <w:p>
            <w:pPr>
              <w:widowControl/>
              <w:jc w:val="left"/>
              <w:textAlignment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知识产权</w:t>
            </w:r>
          </w:p>
        </w:tc>
        <w:tc>
          <w:tcPr>
            <w:tcW w:w="6657" w:type="dxa"/>
            <w:noWrap w:val="0"/>
            <w:vAlign w:val="center"/>
          </w:tcPr>
          <w:p>
            <w:pPr>
              <w:widowControl/>
              <w:jc w:val="left"/>
              <w:textAlignment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1.专利登记：支持科研人员（教职工）在系统内自行登记已获得专利相关信息。</w:t>
            </w:r>
          </w:p>
          <w:p>
            <w:pPr>
              <w:widowControl/>
              <w:jc w:val="left"/>
              <w:textAlignment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2.专利审核：支持管理部门审核相关登记信息的准确性，审核流程可根据需求自定义，以便用于科研绩效统计。</w:t>
            </w:r>
          </w:p>
          <w:p>
            <w:pPr>
              <w:widowControl/>
              <w:jc w:val="left"/>
              <w:textAlignment w:val="center"/>
              <w:rPr>
                <w:rFonts w:hint="eastAsia" w:ascii="宋体" w:hAnsi="宋体" w:eastAsia="宋体" w:cs="宋体"/>
                <w:color w:val="auto"/>
                <w:kern w:val="0"/>
                <w:sz w:val="22"/>
                <w:highlight w:val="none"/>
                <w:lang w:eastAsia="zh-CN" w:bidi="ar"/>
              </w:rPr>
            </w:pPr>
            <w:r>
              <w:rPr>
                <w:rFonts w:hint="eastAsia" w:ascii="宋体" w:hAnsi="宋体" w:cs="宋体"/>
                <w:color w:val="auto"/>
                <w:kern w:val="0"/>
                <w:sz w:val="22"/>
                <w:highlight w:val="none"/>
                <w:lang w:bidi="ar"/>
              </w:rPr>
              <w:t>3.信息查询：支持对在系统内登记的相关数据的查询（自定义查询条件），支持数据的批量导入导出以及统计分析。</w:t>
            </w:r>
          </w:p>
          <w:p>
            <w:pPr>
              <w:widowControl/>
              <w:jc w:val="left"/>
              <w:textAlignment w:val="center"/>
              <w:rPr>
                <w:rFonts w:hint="eastAsia" w:ascii="宋体" w:hAnsi="宋体" w:eastAsia="宋体" w:cs="宋体"/>
                <w:color w:val="auto"/>
                <w:kern w:val="0"/>
                <w:sz w:val="22"/>
                <w:highlight w:val="none"/>
                <w:lang w:eastAsia="zh-CN" w:bidi="ar"/>
              </w:rPr>
            </w:pPr>
            <w:r>
              <w:rPr>
                <w:rFonts w:hint="eastAsia" w:ascii="宋体" w:hAnsi="宋体" w:cs="宋体"/>
                <w:color w:val="auto"/>
                <w:kern w:val="0"/>
                <w:sz w:val="22"/>
                <w:highlight w:val="none"/>
                <w:lang w:bidi="ar"/>
              </w:rPr>
              <w:t>4.专利代理：支持常用专利代理公司资质登记及其账号管理，专利申请信息和材料可在线转交专利代理公司进行代理和维护。</w:t>
            </w:r>
          </w:p>
          <w:p>
            <w:pPr>
              <w:widowControl/>
              <w:jc w:val="left"/>
              <w:textAlignment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5.其他知识产权：支持包括但不限于著作权、标准、集成电路布图、药证、新品种等知识产权的信息登记、审核、查询、导入导出以及统计分析。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94" w:type="dxa"/>
            <w:vMerge w:val="continue"/>
            <w:noWrap w:val="0"/>
            <w:vAlign w:val="center"/>
          </w:tcPr>
          <w:p>
            <w:pPr>
              <w:jc w:val="left"/>
              <w:rPr>
                <w:rFonts w:hint="eastAsia" w:ascii="宋体" w:hAnsi="宋体" w:cs="宋体"/>
                <w:color w:val="auto"/>
                <w:kern w:val="0"/>
                <w:sz w:val="22"/>
                <w:highlight w:val="none"/>
              </w:rPr>
            </w:pPr>
          </w:p>
        </w:tc>
        <w:tc>
          <w:tcPr>
            <w:tcW w:w="1187" w:type="dxa"/>
            <w:noWrap w:val="0"/>
            <w:vAlign w:val="center"/>
          </w:tcPr>
          <w:p>
            <w:pPr>
              <w:widowControl/>
              <w:jc w:val="left"/>
              <w:textAlignment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获奖成果</w:t>
            </w:r>
          </w:p>
        </w:tc>
        <w:tc>
          <w:tcPr>
            <w:tcW w:w="6657" w:type="dxa"/>
            <w:noWrap w:val="0"/>
            <w:vAlign w:val="center"/>
          </w:tcPr>
          <w:p>
            <w:pPr>
              <w:pStyle w:val="10"/>
              <w:widowControl/>
              <w:numPr>
                <w:ilvl w:val="0"/>
                <w:numId w:val="3"/>
              </w:numPr>
              <w:ind w:firstLineChars="0"/>
              <w:jc w:val="left"/>
              <w:textAlignment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获奖登记：支持各级各类获奖情况的信息登记，科研人员（教职工）在系统内自行登记。</w:t>
            </w:r>
          </w:p>
          <w:p>
            <w:pPr>
              <w:widowControl/>
              <w:jc w:val="left"/>
              <w:textAlignment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2.审核：支持管理部门审核自行登记的相关信息的准确性，审核流程可根据需求自定义，以便用于科研绩效统计。</w:t>
            </w:r>
          </w:p>
          <w:p>
            <w:pPr>
              <w:widowControl/>
              <w:jc w:val="left"/>
              <w:textAlignment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3.信息查询：支持对在系统内登记的相关数据的查询（自定义查询条件），支持数据的批量导入导出以及统计分析。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94" w:type="dxa"/>
            <w:vMerge w:val="continue"/>
            <w:noWrap w:val="0"/>
            <w:vAlign w:val="center"/>
          </w:tcPr>
          <w:p>
            <w:pPr>
              <w:jc w:val="left"/>
              <w:rPr>
                <w:rFonts w:hint="eastAsia" w:ascii="宋体" w:hAnsi="宋体" w:cs="宋体"/>
                <w:color w:val="auto"/>
                <w:kern w:val="0"/>
                <w:sz w:val="22"/>
                <w:highlight w:val="none"/>
              </w:rPr>
            </w:pPr>
          </w:p>
        </w:tc>
        <w:tc>
          <w:tcPr>
            <w:tcW w:w="1187" w:type="dxa"/>
            <w:noWrap w:val="0"/>
            <w:vAlign w:val="center"/>
          </w:tcPr>
          <w:p>
            <w:pPr>
              <w:widowControl/>
              <w:jc w:val="left"/>
              <w:textAlignment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学术交流</w:t>
            </w:r>
          </w:p>
        </w:tc>
        <w:tc>
          <w:tcPr>
            <w:tcW w:w="6657" w:type="dxa"/>
            <w:noWrap w:val="0"/>
            <w:vAlign w:val="center"/>
          </w:tcPr>
          <w:p>
            <w:pPr>
              <w:widowControl/>
              <w:jc w:val="left"/>
              <w:textAlignment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1.信息登记：支持主办会议、学术讲座、参加会议、合作研究（人员派遣、人员接受）等学术交流活动的信息登记。</w:t>
            </w:r>
          </w:p>
          <w:p>
            <w:pPr>
              <w:widowControl/>
              <w:jc w:val="left"/>
              <w:textAlignment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2.审核：支持管理部门审核相关信息的准确性，审核流程可根据需求自定义。</w:t>
            </w:r>
          </w:p>
          <w:p>
            <w:pPr>
              <w:widowControl/>
              <w:jc w:val="left"/>
              <w:textAlignment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3.信息查询：支持相关数据的查询（自定义查询条件），支持数据的批量导入导出以及统计分析。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194" w:type="dxa"/>
            <w:vMerge w:val="restart"/>
            <w:noWrap w:val="0"/>
            <w:vAlign w:val="center"/>
          </w:tcPr>
          <w:p>
            <w:pPr>
              <w:widowControl/>
              <w:jc w:val="left"/>
              <w:textAlignment w:val="center"/>
              <w:rPr>
                <w:rFonts w:hint="eastAsia" w:ascii="宋体" w:hAnsi="宋体" w:cs="宋体"/>
                <w:bCs/>
                <w:color w:val="auto"/>
                <w:kern w:val="0"/>
                <w:sz w:val="22"/>
                <w:highlight w:val="none"/>
                <w:lang w:bidi="ar"/>
              </w:rPr>
            </w:pPr>
            <w:r>
              <w:rPr>
                <w:rFonts w:hint="eastAsia" w:ascii="宋体" w:hAnsi="宋体" w:cs="宋体"/>
                <w:bCs/>
                <w:color w:val="auto"/>
                <w:kern w:val="0"/>
                <w:sz w:val="22"/>
                <w:highlight w:val="none"/>
                <w:lang w:bidi="ar"/>
              </w:rPr>
              <w:t>经费管理</w:t>
            </w:r>
          </w:p>
        </w:tc>
        <w:tc>
          <w:tcPr>
            <w:tcW w:w="1187" w:type="dxa"/>
            <w:noWrap w:val="0"/>
            <w:vAlign w:val="center"/>
          </w:tcPr>
          <w:p>
            <w:pPr>
              <w:widowControl/>
              <w:jc w:val="left"/>
              <w:textAlignment w:val="center"/>
              <w:rPr>
                <w:rFonts w:hint="eastAsia" w:ascii="宋体" w:hAnsi="宋体" w:cs="宋体"/>
                <w:bCs/>
                <w:color w:val="auto"/>
                <w:kern w:val="0"/>
                <w:sz w:val="22"/>
                <w:highlight w:val="none"/>
                <w:lang w:bidi="ar"/>
              </w:rPr>
            </w:pPr>
            <w:r>
              <w:rPr>
                <w:rFonts w:hint="eastAsia" w:ascii="宋体" w:hAnsi="宋体" w:cs="宋体"/>
                <w:bCs/>
                <w:color w:val="auto"/>
                <w:kern w:val="0"/>
                <w:sz w:val="22"/>
                <w:highlight w:val="none"/>
                <w:lang w:bidi="ar"/>
              </w:rPr>
              <w:t>经费执行管理</w:t>
            </w:r>
          </w:p>
        </w:tc>
        <w:tc>
          <w:tcPr>
            <w:tcW w:w="6657" w:type="dxa"/>
            <w:noWrap w:val="0"/>
            <w:vAlign w:val="center"/>
          </w:tcPr>
          <w:p>
            <w:pPr>
              <w:widowControl/>
              <w:jc w:val="left"/>
              <w:textAlignment w:val="center"/>
              <w:rPr>
                <w:rFonts w:hint="eastAsia" w:ascii="宋体" w:hAnsi="宋体" w:cs="宋体"/>
                <w:bCs/>
                <w:color w:val="auto"/>
                <w:kern w:val="0"/>
                <w:sz w:val="22"/>
                <w:highlight w:val="none"/>
                <w:lang w:bidi="ar"/>
              </w:rPr>
            </w:pPr>
            <w:r>
              <w:rPr>
                <w:rFonts w:hint="eastAsia" w:ascii="宋体" w:hAnsi="宋体" w:cs="宋体"/>
                <w:bCs/>
                <w:color w:val="auto"/>
                <w:kern w:val="0"/>
                <w:sz w:val="22"/>
                <w:highlight w:val="none"/>
                <w:lang w:bidi="ar"/>
              </w:rPr>
              <w:t>1.经费卡号编辑：支持科研相关经费的卡号编辑，管理人员可在系统中自行编辑科研项目在财务系统对应的经费卡号。</w:t>
            </w:r>
          </w:p>
          <w:p>
            <w:pPr>
              <w:widowControl/>
              <w:jc w:val="left"/>
              <w:textAlignment w:val="center"/>
              <w:rPr>
                <w:rFonts w:hint="eastAsia" w:ascii="宋体" w:hAnsi="宋体" w:cs="宋体"/>
                <w:bCs/>
                <w:color w:val="auto"/>
                <w:kern w:val="0"/>
                <w:sz w:val="22"/>
                <w:highlight w:val="none"/>
                <w:lang w:bidi="ar"/>
              </w:rPr>
            </w:pPr>
            <w:r>
              <w:rPr>
                <w:rFonts w:hint="eastAsia" w:ascii="宋体" w:hAnsi="宋体" w:cs="宋体"/>
                <w:bCs/>
                <w:color w:val="auto"/>
                <w:kern w:val="0"/>
                <w:sz w:val="22"/>
                <w:highlight w:val="none"/>
                <w:lang w:bidi="ar"/>
              </w:rPr>
              <w:t>2.经费执行数据接收：通过与校内数据中心对接，以视图形式分笔接收科研项目经费执行数据。</w:t>
            </w:r>
          </w:p>
          <w:p>
            <w:pPr>
              <w:widowControl/>
              <w:jc w:val="left"/>
              <w:textAlignment w:val="center"/>
              <w:rPr>
                <w:rFonts w:ascii="宋体" w:hAnsi="宋体" w:cs="宋体"/>
                <w:bCs/>
                <w:color w:val="auto"/>
                <w:kern w:val="0"/>
                <w:sz w:val="22"/>
                <w:highlight w:val="none"/>
                <w:lang w:bidi="ar"/>
              </w:rPr>
            </w:pPr>
            <w:r>
              <w:rPr>
                <w:rFonts w:hint="eastAsia" w:ascii="宋体" w:hAnsi="宋体" w:cs="宋体"/>
                <w:bCs/>
                <w:color w:val="auto"/>
                <w:kern w:val="0"/>
                <w:sz w:val="22"/>
                <w:highlight w:val="none"/>
                <w:lang w:bidi="ar"/>
              </w:rPr>
              <w:t>3.经费执行数据统计：</w:t>
            </w:r>
          </w:p>
          <w:p>
            <w:pPr>
              <w:widowControl/>
              <w:jc w:val="left"/>
              <w:textAlignment w:val="center"/>
              <w:rPr>
                <w:rFonts w:ascii="宋体" w:hAnsi="宋体" w:cs="宋体"/>
                <w:bCs/>
                <w:color w:val="auto"/>
                <w:kern w:val="0"/>
                <w:sz w:val="22"/>
                <w:highlight w:val="none"/>
                <w:lang w:bidi="ar"/>
              </w:rPr>
            </w:pPr>
            <w:r>
              <w:rPr>
                <w:rFonts w:hint="eastAsia" w:ascii="宋体" w:hAnsi="宋体" w:cs="宋体"/>
                <w:bCs/>
                <w:color w:val="auto"/>
                <w:kern w:val="0"/>
                <w:sz w:val="22"/>
                <w:highlight w:val="none"/>
                <w:lang w:bidi="ar"/>
              </w:rPr>
              <w:t>a</w:t>
            </w:r>
            <w:r>
              <w:rPr>
                <w:rFonts w:ascii="宋体" w:hAnsi="宋体" w:cs="宋体"/>
                <w:bCs/>
                <w:color w:val="auto"/>
                <w:kern w:val="0"/>
                <w:sz w:val="22"/>
                <w:highlight w:val="none"/>
                <w:lang w:bidi="ar"/>
              </w:rPr>
              <w:t>.</w:t>
            </w:r>
            <w:r>
              <w:rPr>
                <w:rFonts w:hint="eastAsia" w:ascii="宋体" w:hAnsi="宋体" w:cs="宋体"/>
                <w:bCs/>
                <w:color w:val="auto"/>
                <w:kern w:val="0"/>
                <w:sz w:val="22"/>
                <w:highlight w:val="none"/>
                <w:lang w:bidi="ar"/>
              </w:rPr>
              <w:t>支持将分笔接收到的科研项目经费数据解析、整合、统计。</w:t>
            </w:r>
          </w:p>
          <w:p>
            <w:pPr>
              <w:widowControl/>
              <w:jc w:val="left"/>
              <w:textAlignment w:val="center"/>
              <w:rPr>
                <w:rFonts w:ascii="宋体" w:hAnsi="宋体" w:cs="宋体"/>
                <w:bCs/>
                <w:color w:val="auto"/>
                <w:kern w:val="0"/>
                <w:sz w:val="22"/>
                <w:highlight w:val="none"/>
                <w:lang w:bidi="ar"/>
              </w:rPr>
            </w:pPr>
            <w:r>
              <w:rPr>
                <w:rFonts w:ascii="宋体" w:hAnsi="宋体" w:cs="宋体"/>
                <w:bCs/>
                <w:color w:val="auto"/>
                <w:kern w:val="0"/>
                <w:sz w:val="22"/>
                <w:highlight w:val="none"/>
                <w:lang w:bidi="ar"/>
              </w:rPr>
              <w:t>b.</w:t>
            </w:r>
            <w:r>
              <w:rPr>
                <w:rFonts w:hint="eastAsia" w:ascii="宋体" w:hAnsi="宋体" w:cs="宋体"/>
                <w:bCs/>
                <w:color w:val="auto"/>
                <w:kern w:val="0"/>
                <w:sz w:val="22"/>
                <w:highlight w:val="none"/>
                <w:lang w:bidi="ar"/>
              </w:rPr>
              <w:t>支持横向及校内科研项目统计成该项目的经费执行额总数。</w:t>
            </w:r>
          </w:p>
          <w:p>
            <w:pPr>
              <w:widowControl/>
              <w:jc w:val="left"/>
              <w:textAlignment w:val="center"/>
              <w:rPr>
                <w:rFonts w:hint="eastAsia" w:ascii="宋体" w:hAnsi="宋体" w:cs="宋体"/>
                <w:bCs/>
                <w:color w:val="auto"/>
                <w:kern w:val="0"/>
                <w:sz w:val="22"/>
                <w:highlight w:val="none"/>
                <w:lang w:bidi="ar"/>
              </w:rPr>
            </w:pPr>
            <w:r>
              <w:rPr>
                <w:rFonts w:ascii="宋体" w:hAnsi="宋体" w:cs="宋体"/>
                <w:bCs/>
                <w:color w:val="auto"/>
                <w:kern w:val="0"/>
                <w:sz w:val="22"/>
                <w:highlight w:val="none"/>
                <w:lang w:bidi="ar"/>
              </w:rPr>
              <w:t>c.</w:t>
            </w:r>
            <w:r>
              <w:rPr>
                <w:rFonts w:hint="eastAsia" w:ascii="宋体" w:hAnsi="宋体" w:cs="宋体"/>
                <w:bCs/>
                <w:color w:val="auto"/>
                <w:kern w:val="0"/>
                <w:sz w:val="22"/>
                <w:highlight w:val="none"/>
                <w:lang w:bidi="ar"/>
              </w:rPr>
              <w:t>支持纵向科研项目根据接收到的经费执行数据，并根据项目各科目预算，统计各科目经费预算执行额以及项目经费执行额总数。可做到各经费科目下的经费执行情况显示。</w:t>
            </w:r>
          </w:p>
          <w:p>
            <w:pPr>
              <w:pStyle w:val="6"/>
              <w:ind w:left="0" w:firstLine="0" w:firstLineChars="0"/>
              <w:jc w:val="left"/>
              <w:rPr>
                <w:rFonts w:hint="eastAsia" w:ascii="宋体" w:hAnsi="宋体" w:cs="宋体"/>
                <w:bCs/>
                <w:color w:val="auto"/>
                <w:kern w:val="0"/>
                <w:sz w:val="22"/>
                <w:highlight w:val="none"/>
                <w:lang w:bidi="ar"/>
              </w:rPr>
            </w:pPr>
            <w:r>
              <w:rPr>
                <w:rFonts w:hint="eastAsia" w:ascii="宋体" w:hAnsi="宋体" w:cs="宋体"/>
                <w:bCs/>
                <w:color w:val="auto"/>
                <w:kern w:val="0"/>
                <w:sz w:val="22"/>
                <w:highlight w:val="none"/>
                <w:lang w:bidi="ar"/>
              </w:rPr>
              <w:t>4.经费到账入账：</w:t>
            </w:r>
          </w:p>
          <w:p>
            <w:pPr>
              <w:pStyle w:val="6"/>
              <w:ind w:left="0" w:firstLine="0" w:firstLineChars="0"/>
              <w:jc w:val="left"/>
              <w:rPr>
                <w:rFonts w:hint="eastAsia" w:ascii="宋体" w:hAnsi="宋体" w:cs="宋体"/>
                <w:bCs/>
                <w:color w:val="auto"/>
                <w:kern w:val="0"/>
                <w:sz w:val="22"/>
                <w:highlight w:val="none"/>
                <w:lang w:bidi="ar"/>
              </w:rPr>
            </w:pPr>
            <w:r>
              <w:rPr>
                <w:rFonts w:hint="eastAsia" w:ascii="宋体" w:hAnsi="宋体" w:cs="宋体"/>
                <w:bCs/>
                <w:color w:val="auto"/>
                <w:kern w:val="0"/>
                <w:sz w:val="22"/>
                <w:highlight w:val="none"/>
                <w:lang w:bidi="ar"/>
              </w:rPr>
              <w:t>a.支持科研经费到账情况管理、经费入账管理。</w:t>
            </w:r>
          </w:p>
          <w:p>
            <w:pPr>
              <w:pStyle w:val="6"/>
              <w:ind w:left="0" w:firstLine="0" w:firstLineChars="0"/>
              <w:jc w:val="left"/>
              <w:rPr>
                <w:rFonts w:hint="eastAsia" w:ascii="宋体" w:hAnsi="宋体" w:cs="宋体"/>
                <w:bCs/>
                <w:color w:val="auto"/>
                <w:kern w:val="0"/>
                <w:sz w:val="22"/>
                <w:highlight w:val="none"/>
                <w:lang w:bidi="ar"/>
              </w:rPr>
            </w:pPr>
            <w:r>
              <w:rPr>
                <w:rFonts w:hint="eastAsia" w:ascii="宋体" w:hAnsi="宋体" w:cs="宋体"/>
                <w:bCs/>
                <w:color w:val="auto"/>
                <w:kern w:val="0"/>
                <w:sz w:val="22"/>
                <w:highlight w:val="none"/>
                <w:lang w:bidi="ar"/>
              </w:rPr>
              <w:t>b.经费到账：财务部门工作人员根据指定格式，在系统中批量录入银行来款数据以及经费到账情况。</w:t>
            </w:r>
          </w:p>
          <w:p>
            <w:pPr>
              <w:pStyle w:val="6"/>
              <w:ind w:left="0" w:firstLine="0" w:firstLineChars="0"/>
              <w:jc w:val="left"/>
              <w:rPr>
                <w:rFonts w:hint="eastAsia" w:ascii="宋体" w:hAnsi="宋体" w:cs="宋体"/>
                <w:bCs/>
                <w:color w:val="auto"/>
                <w:kern w:val="0"/>
                <w:sz w:val="22"/>
                <w:highlight w:val="none"/>
                <w:lang w:bidi="ar"/>
              </w:rPr>
            </w:pPr>
            <w:r>
              <w:rPr>
                <w:rFonts w:hint="eastAsia" w:ascii="宋体" w:hAnsi="宋体" w:cs="宋体"/>
                <w:bCs/>
                <w:color w:val="auto"/>
                <w:kern w:val="0"/>
                <w:sz w:val="22"/>
                <w:highlight w:val="none"/>
                <w:lang w:bidi="ar"/>
              </w:rPr>
              <w:t>c.经费认领：科研办管理人员通过录入的经费到账信息，进行经费和对应科研项目的认领。</w:t>
            </w:r>
          </w:p>
          <w:p>
            <w:pPr>
              <w:pStyle w:val="6"/>
              <w:ind w:left="0" w:firstLine="0" w:firstLineChars="0"/>
              <w:jc w:val="left"/>
              <w:rPr>
                <w:rFonts w:ascii="宋体" w:hAnsi="宋体" w:cs="宋体"/>
                <w:bCs/>
                <w:color w:val="auto"/>
                <w:kern w:val="0"/>
                <w:sz w:val="22"/>
                <w:highlight w:val="none"/>
                <w:lang w:bidi="ar"/>
              </w:rPr>
            </w:pPr>
            <w:r>
              <w:rPr>
                <w:rFonts w:hint="eastAsia" w:ascii="宋体" w:hAnsi="宋体" w:cs="宋体"/>
                <w:bCs/>
                <w:color w:val="auto"/>
                <w:kern w:val="0"/>
                <w:sz w:val="22"/>
                <w:highlight w:val="none"/>
                <w:lang w:bidi="ar"/>
              </w:rPr>
              <w:t>d.经费入账：对于认领成功的项目经费，对应的科研项目显示经费已成功入账。可支持入账通知单的导出。</w:t>
            </w:r>
          </w:p>
          <w:p>
            <w:pPr>
              <w:pStyle w:val="6"/>
              <w:ind w:left="0" w:firstLine="0" w:firstLineChars="0"/>
              <w:jc w:val="left"/>
              <w:rPr>
                <w:rFonts w:hint="eastAsia" w:ascii="宋体" w:hAnsi="宋体" w:cs="宋体"/>
                <w:bCs/>
                <w:color w:val="auto"/>
                <w:kern w:val="0"/>
                <w:sz w:val="22"/>
                <w:highlight w:val="none"/>
                <w:lang w:bidi="ar"/>
              </w:rPr>
            </w:pPr>
            <w:r>
              <w:rPr>
                <w:rFonts w:hint="eastAsia" w:ascii="宋体" w:hAnsi="宋体" w:cs="宋体"/>
                <w:bCs/>
                <w:color w:val="auto"/>
                <w:kern w:val="0"/>
                <w:sz w:val="22"/>
                <w:highlight w:val="none"/>
                <w:lang w:bidi="ar"/>
              </w:rPr>
              <w:t>5</w:t>
            </w:r>
            <w:r>
              <w:rPr>
                <w:rFonts w:ascii="宋体" w:hAnsi="宋体" w:cs="宋体"/>
                <w:bCs/>
                <w:color w:val="auto"/>
                <w:kern w:val="0"/>
                <w:sz w:val="22"/>
                <w:highlight w:val="none"/>
                <w:lang w:bidi="ar"/>
              </w:rPr>
              <w:t>.</w:t>
            </w:r>
            <w:r>
              <w:rPr>
                <w:rFonts w:hint="eastAsia" w:ascii="宋体" w:hAnsi="宋体" w:cs="宋体"/>
                <w:bCs/>
                <w:color w:val="auto"/>
                <w:kern w:val="0"/>
                <w:sz w:val="22"/>
                <w:highlight w:val="none"/>
                <w:lang w:bidi="ar"/>
              </w:rPr>
              <w:t>项目立项及项目预算数据：支持将项目立项数据以及项目预算情况导出，在财务系统中做到项目可直接立项，并同步项目相关预算情况。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194" w:type="dxa"/>
            <w:vMerge w:val="continue"/>
            <w:noWrap w:val="0"/>
            <w:vAlign w:val="center"/>
          </w:tcPr>
          <w:p>
            <w:pPr>
              <w:widowControl/>
              <w:jc w:val="left"/>
              <w:textAlignment w:val="center"/>
              <w:rPr>
                <w:rFonts w:hint="eastAsia" w:ascii="宋体" w:hAnsi="宋体" w:cs="宋体"/>
                <w:bCs/>
                <w:color w:val="auto"/>
                <w:kern w:val="0"/>
                <w:sz w:val="22"/>
                <w:highlight w:val="none"/>
                <w:lang w:bidi="ar"/>
              </w:rPr>
            </w:pPr>
          </w:p>
        </w:tc>
        <w:tc>
          <w:tcPr>
            <w:tcW w:w="1187" w:type="dxa"/>
            <w:noWrap w:val="0"/>
            <w:vAlign w:val="center"/>
          </w:tcPr>
          <w:p>
            <w:pPr>
              <w:widowControl/>
              <w:jc w:val="left"/>
              <w:textAlignment w:val="center"/>
              <w:rPr>
                <w:rFonts w:hint="eastAsia" w:ascii="宋体" w:hAnsi="宋体" w:cs="宋体"/>
                <w:bCs/>
                <w:color w:val="auto"/>
                <w:kern w:val="0"/>
                <w:sz w:val="22"/>
                <w:highlight w:val="none"/>
                <w:lang w:bidi="ar"/>
              </w:rPr>
            </w:pPr>
            <w:r>
              <w:rPr>
                <w:rFonts w:hint="eastAsia" w:ascii="宋体" w:hAnsi="宋体" w:cs="宋体"/>
                <w:bCs/>
                <w:color w:val="auto"/>
                <w:kern w:val="0"/>
                <w:sz w:val="22"/>
                <w:highlight w:val="none"/>
                <w:lang w:bidi="ar"/>
              </w:rPr>
              <w:t>财务对接</w:t>
            </w:r>
          </w:p>
        </w:tc>
        <w:tc>
          <w:tcPr>
            <w:tcW w:w="6657" w:type="dxa"/>
            <w:noWrap w:val="0"/>
            <w:vAlign w:val="center"/>
          </w:tcPr>
          <w:p>
            <w:pPr>
              <w:widowControl/>
              <w:jc w:val="left"/>
              <w:textAlignment w:val="center"/>
              <w:rPr>
                <w:rFonts w:hint="eastAsia" w:ascii="宋体" w:hAnsi="宋体" w:eastAsia="宋体" w:cs="宋体"/>
                <w:bCs/>
                <w:color w:val="auto"/>
                <w:kern w:val="0"/>
                <w:sz w:val="22"/>
                <w:highlight w:val="none"/>
                <w:lang w:eastAsia="zh-CN" w:bidi="ar"/>
              </w:rPr>
            </w:pPr>
            <w:r>
              <w:rPr>
                <w:rFonts w:hint="eastAsia" w:ascii="宋体" w:hAnsi="宋体" w:cs="宋体"/>
                <w:bCs/>
                <w:color w:val="auto"/>
                <w:kern w:val="0"/>
                <w:sz w:val="22"/>
                <w:highlight w:val="none"/>
                <w:lang w:bidi="ar"/>
              </w:rPr>
              <w:t>1.通过与数据中心对接（需要数据中心配合与财务系统对接，费用包含在内），分笔接收财务科研项目经费执行数据，通过解析接收到的执行数据，实现科研经费执行情况跟踪，具体内容见上述“经费执行管理”。</w:t>
            </w:r>
          </w:p>
          <w:p>
            <w:pPr>
              <w:widowControl/>
              <w:jc w:val="left"/>
              <w:textAlignment w:val="center"/>
              <w:rPr>
                <w:rFonts w:hint="eastAsia" w:ascii="宋体" w:hAnsi="宋体" w:cs="宋体"/>
                <w:bCs/>
                <w:color w:val="auto"/>
                <w:kern w:val="0"/>
                <w:sz w:val="22"/>
                <w:highlight w:val="none"/>
                <w:lang w:bidi="ar"/>
              </w:rPr>
            </w:pPr>
            <w:r>
              <w:rPr>
                <w:rFonts w:hint="eastAsia" w:ascii="宋体" w:hAnsi="宋体" w:cs="宋体"/>
                <w:bCs/>
                <w:color w:val="auto"/>
                <w:kern w:val="0"/>
                <w:sz w:val="22"/>
                <w:highlight w:val="none"/>
                <w:lang w:bidi="ar"/>
              </w:rPr>
              <w:t>2.经费执行统计：支持对各科研项目的经费执行额总数进行统计，纵向科研项目支持对各经费科目执行数据的统计。</w:t>
            </w:r>
          </w:p>
          <w:p>
            <w:pPr>
              <w:widowControl/>
              <w:jc w:val="left"/>
              <w:textAlignment w:val="center"/>
              <w:rPr>
                <w:rFonts w:hint="eastAsia" w:ascii="宋体" w:hAnsi="宋体" w:cs="宋体"/>
                <w:bCs/>
                <w:color w:val="auto"/>
                <w:kern w:val="0"/>
                <w:sz w:val="22"/>
                <w:highlight w:val="none"/>
                <w:lang w:bidi="ar"/>
              </w:rPr>
            </w:pPr>
            <w:r>
              <w:rPr>
                <w:rFonts w:hint="eastAsia" w:ascii="宋体" w:hAnsi="宋体" w:cs="宋体"/>
                <w:bCs/>
                <w:color w:val="auto"/>
                <w:kern w:val="0"/>
                <w:sz w:val="22"/>
                <w:highlight w:val="none"/>
                <w:lang w:bidi="ar"/>
              </w:rPr>
              <w:t>3.经费执行情况查看：科研人员可查看自己已立项项目的经费执行情况，管理部门人员可查看所有已立项项目的经费执行情况。可显示项目经费预算表以及经费总数的使用情况。纵向科研项目可显示各经费科目下经费的使用情况。</w:t>
            </w:r>
          </w:p>
          <w:p>
            <w:pPr>
              <w:widowControl/>
              <w:jc w:val="left"/>
              <w:textAlignment w:val="center"/>
              <w:rPr>
                <w:rFonts w:hint="eastAsia" w:ascii="宋体" w:hAnsi="宋体" w:cs="宋体"/>
                <w:bCs/>
                <w:color w:val="auto"/>
                <w:kern w:val="0"/>
                <w:sz w:val="22"/>
                <w:highlight w:val="none"/>
                <w:lang w:bidi="ar"/>
              </w:rPr>
            </w:pPr>
            <w:r>
              <w:rPr>
                <w:rFonts w:hint="eastAsia" w:ascii="宋体" w:hAnsi="宋体" w:cs="宋体"/>
                <w:bCs/>
                <w:color w:val="auto"/>
                <w:kern w:val="0"/>
                <w:sz w:val="22"/>
                <w:highlight w:val="none"/>
                <w:lang w:bidi="ar"/>
              </w:rPr>
              <w:t>4.数据统计分析：可根据自定义条件进行数据的统计以及筛选。例如筛选出某一学院执行率大于50%的所有项目。</w:t>
            </w:r>
          </w:p>
          <w:p>
            <w:pPr>
              <w:widowControl/>
              <w:jc w:val="left"/>
              <w:textAlignment w:val="center"/>
              <w:rPr>
                <w:rFonts w:hint="eastAsia" w:ascii="宋体" w:hAnsi="宋体" w:cs="宋体"/>
                <w:bCs/>
                <w:color w:val="auto"/>
                <w:kern w:val="0"/>
                <w:sz w:val="22"/>
                <w:highlight w:val="none"/>
                <w:lang w:bidi="ar"/>
              </w:rPr>
            </w:pPr>
            <w:r>
              <w:rPr>
                <w:rFonts w:hint="eastAsia" w:ascii="宋体" w:hAnsi="宋体" w:cs="宋体"/>
                <w:bCs/>
                <w:color w:val="auto"/>
                <w:kern w:val="0"/>
                <w:sz w:val="22"/>
                <w:highlight w:val="none"/>
                <w:lang w:bidi="ar"/>
              </w:rPr>
              <w:t>5.经费卡号对照：科研项目与财务经费卡号对照，建立科研项目与财务经费的对应关系。</w:t>
            </w:r>
          </w:p>
          <w:p>
            <w:pPr>
              <w:widowControl/>
              <w:jc w:val="left"/>
              <w:textAlignment w:val="center"/>
              <w:rPr>
                <w:rFonts w:hint="eastAsia" w:ascii="宋体" w:hAnsi="宋体" w:cs="宋体"/>
                <w:bCs/>
                <w:color w:val="auto"/>
                <w:kern w:val="0"/>
                <w:sz w:val="22"/>
                <w:highlight w:val="none"/>
                <w:lang w:bidi="ar"/>
              </w:rPr>
            </w:pPr>
            <w:r>
              <w:rPr>
                <w:rFonts w:hint="eastAsia" w:ascii="宋体" w:hAnsi="宋体" w:cs="宋体"/>
                <w:bCs/>
                <w:color w:val="auto"/>
                <w:kern w:val="0"/>
                <w:sz w:val="22"/>
                <w:highlight w:val="none"/>
                <w:lang w:bidi="ar"/>
              </w:rPr>
              <w:t>6.数据同步：科研项目经费执行数据同步，以中间库的形式，财务向数据中心共享数据，数据中心与科研系统共享科研项目明细数据。</w:t>
            </w:r>
          </w:p>
          <w:p>
            <w:pPr>
              <w:widowControl/>
              <w:jc w:val="left"/>
              <w:textAlignment w:val="center"/>
              <w:rPr>
                <w:rFonts w:ascii="宋体" w:hAnsi="宋体" w:cs="宋体"/>
                <w:bCs/>
                <w:color w:val="auto"/>
                <w:kern w:val="0"/>
                <w:sz w:val="22"/>
                <w:highlight w:val="none"/>
                <w:lang w:bidi="ar"/>
              </w:rPr>
            </w:pPr>
            <w:r>
              <w:rPr>
                <w:rFonts w:hint="eastAsia" w:ascii="宋体" w:hAnsi="宋体" w:cs="宋体"/>
                <w:bCs/>
                <w:color w:val="auto"/>
                <w:kern w:val="0"/>
                <w:sz w:val="22"/>
                <w:highlight w:val="none"/>
                <w:lang w:bidi="ar"/>
              </w:rPr>
              <w:t>7.经费执行预警：支持设置项目经费执行预警的触发条件和信息模板，系统可动态向项目负责人通过邮件推送相关预警信息。管理人员也可手动发送相关预警通知。</w:t>
            </w:r>
          </w:p>
          <w:p>
            <w:pPr>
              <w:pStyle w:val="6"/>
              <w:ind w:left="440" w:hanging="440"/>
              <w:rPr>
                <w:rFonts w:ascii="宋体" w:hAnsi="宋体" w:cs="宋体"/>
                <w:bCs/>
                <w:color w:val="auto"/>
                <w:kern w:val="0"/>
                <w:sz w:val="22"/>
                <w:highlight w:val="none"/>
                <w:lang w:bidi="ar"/>
              </w:rPr>
            </w:pPr>
            <w:r>
              <w:rPr>
                <w:rFonts w:hint="eastAsia" w:ascii="宋体" w:hAnsi="宋体" w:cs="宋体"/>
                <w:bCs/>
                <w:color w:val="auto"/>
                <w:kern w:val="0"/>
                <w:sz w:val="22"/>
                <w:highlight w:val="none"/>
                <w:lang w:bidi="ar"/>
              </w:rPr>
              <w:t>8</w:t>
            </w:r>
            <w:r>
              <w:rPr>
                <w:rFonts w:ascii="宋体" w:hAnsi="宋体" w:cs="宋体"/>
                <w:bCs/>
                <w:color w:val="auto"/>
                <w:kern w:val="0"/>
                <w:sz w:val="22"/>
                <w:highlight w:val="none"/>
                <w:lang w:bidi="ar"/>
              </w:rPr>
              <w:t>.</w:t>
            </w:r>
            <w:r>
              <w:rPr>
                <w:rFonts w:hint="eastAsia" w:ascii="宋体" w:hAnsi="宋体" w:cs="宋体"/>
                <w:bCs/>
                <w:color w:val="auto"/>
                <w:kern w:val="0"/>
                <w:sz w:val="22"/>
                <w:highlight w:val="none"/>
                <w:lang w:bidi="ar"/>
              </w:rPr>
              <w:t>可设置各类项目“预算-报销”科目对照表，将财务报销明细信息</w:t>
            </w:r>
          </w:p>
          <w:p>
            <w:pPr>
              <w:pStyle w:val="6"/>
              <w:ind w:left="440" w:hanging="440"/>
              <w:rPr>
                <w:rFonts w:hint="eastAsia"/>
                <w:color w:val="auto"/>
                <w:highlight w:val="none"/>
                <w:lang w:bidi="ar"/>
              </w:rPr>
            </w:pPr>
            <w:r>
              <w:rPr>
                <w:rFonts w:hint="eastAsia" w:ascii="宋体" w:hAnsi="宋体" w:cs="宋体"/>
                <w:bCs/>
                <w:color w:val="auto"/>
                <w:kern w:val="0"/>
                <w:sz w:val="22"/>
                <w:highlight w:val="none"/>
                <w:lang w:bidi="ar"/>
              </w:rPr>
              <w:t>对应到项目预算科目中，以跟踪项目预算执行率。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94" w:type="dxa"/>
            <w:vMerge w:val="restart"/>
            <w:noWrap w:val="0"/>
            <w:vAlign w:val="center"/>
          </w:tcPr>
          <w:p>
            <w:pPr>
              <w:widowControl/>
              <w:jc w:val="left"/>
              <w:textAlignment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基础资源</w:t>
            </w:r>
          </w:p>
        </w:tc>
        <w:tc>
          <w:tcPr>
            <w:tcW w:w="1187" w:type="dxa"/>
            <w:noWrap w:val="0"/>
            <w:vAlign w:val="center"/>
          </w:tcPr>
          <w:p>
            <w:pPr>
              <w:widowControl/>
              <w:jc w:val="left"/>
              <w:textAlignment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科研队伍</w:t>
            </w:r>
          </w:p>
        </w:tc>
        <w:tc>
          <w:tcPr>
            <w:tcW w:w="6657" w:type="dxa"/>
            <w:noWrap w:val="0"/>
            <w:vAlign w:val="center"/>
          </w:tcPr>
          <w:p>
            <w:pPr>
              <w:widowControl/>
              <w:jc w:val="left"/>
              <w:textAlignment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 支持科研队伍的多级权限管理，二级学院、校领导可根据需求汇总统计对应学院科研相关信息。支持根据学校科研组织结构，进行结构树创建及维护。</w:t>
            </w:r>
          </w:p>
          <w:p>
            <w:pPr>
              <w:widowControl/>
              <w:jc w:val="left"/>
              <w:textAlignment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2.科研人员库</w:t>
            </w:r>
          </w:p>
          <w:p>
            <w:pPr>
              <w:widowControl/>
              <w:jc w:val="left"/>
              <w:textAlignment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a.信息同步：支持与校内人事系统的科研人员基本信息同步。</w:t>
            </w:r>
          </w:p>
          <w:p>
            <w:pPr>
              <w:widowControl/>
              <w:jc w:val="left"/>
              <w:textAlignment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b.信息管理：支持科研人员对应的科研信息管理及维护。支持相关信息的自定义条件查询、统计及导出。</w:t>
            </w:r>
          </w:p>
          <w:p>
            <w:pPr>
              <w:widowControl/>
              <w:jc w:val="left"/>
              <w:textAlignment w:val="center"/>
              <w:rPr>
                <w:rFonts w:hint="eastAsia" w:ascii="宋体" w:hAnsi="宋体" w:eastAsia="宋体" w:cs="宋体"/>
                <w:color w:val="auto"/>
                <w:kern w:val="0"/>
                <w:sz w:val="22"/>
                <w:highlight w:val="none"/>
                <w:lang w:eastAsia="zh-CN" w:bidi="ar"/>
              </w:rPr>
            </w:pPr>
            <w:r>
              <w:rPr>
                <w:rFonts w:hint="eastAsia" w:ascii="宋体" w:hAnsi="宋体" w:cs="宋体"/>
                <w:color w:val="auto"/>
                <w:kern w:val="0"/>
                <w:sz w:val="22"/>
                <w:highlight w:val="none"/>
                <w:lang w:bidi="ar"/>
              </w:rPr>
              <w:t>c.数据统计：支持生成个人科研详情概览，汇总个人科研项目、经费、成果等数据，可自定义配置展示数据项，在登录系统后，可进行</w:t>
            </w:r>
            <w:r>
              <w:rPr>
                <w:rFonts w:hint="eastAsia" w:ascii="仿宋" w:hAnsi="仿宋" w:cs="仿宋"/>
                <w:color w:val="auto"/>
                <w:sz w:val="22"/>
                <w:highlight w:val="none"/>
              </w:rPr>
              <w:t>汇总个人科研项目、经费、成果等数据，对</w:t>
            </w:r>
            <w:r>
              <w:rPr>
                <w:rFonts w:hint="eastAsia" w:ascii="宋体" w:hAnsi="宋体" w:cs="宋体"/>
                <w:color w:val="auto"/>
                <w:kern w:val="0"/>
                <w:sz w:val="22"/>
                <w:highlight w:val="none"/>
                <w:lang w:bidi="ar"/>
              </w:rPr>
              <w:t>个人科研详情表导出或者打印。</w:t>
            </w:r>
          </w:p>
          <w:p>
            <w:pPr>
              <w:widowControl/>
              <w:jc w:val="left"/>
              <w:textAlignment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3.专家库</w:t>
            </w:r>
          </w:p>
          <w:p>
            <w:pPr>
              <w:widowControl/>
              <w:jc w:val="left"/>
              <w:textAlignment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a.支持专家分组管理，根据不同条件对各专家进行遴选。</w:t>
            </w:r>
          </w:p>
          <w:p>
            <w:pPr>
              <w:widowControl/>
              <w:jc w:val="left"/>
              <w:textAlignment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b.支持专家对应账号的新增、管理及维护。</w:t>
            </w:r>
          </w:p>
          <w:p>
            <w:pPr>
              <w:pStyle w:val="6"/>
              <w:ind w:left="0" w:firstLine="0" w:firstLineChars="0"/>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4.行政人员</w:t>
            </w:r>
          </w:p>
          <w:p>
            <w:pPr>
              <w:widowControl/>
              <w:jc w:val="left"/>
              <w:textAlignment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a.信息同步：支持与校内人事系统的行政人员基本信息同步。</w:t>
            </w:r>
          </w:p>
          <w:p>
            <w:pPr>
              <w:pStyle w:val="6"/>
              <w:ind w:left="0" w:firstLine="0" w:firstLineChars="0"/>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b.信息管理：支持不同部门行政人员相关的权限维护及管理。</w:t>
            </w:r>
          </w:p>
          <w:p>
            <w:pPr>
              <w:pStyle w:val="6"/>
              <w:ind w:left="0" w:firstLine="0" w:firstLineChars="0"/>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5.学生</w:t>
            </w:r>
          </w:p>
          <w:p>
            <w:pPr>
              <w:pStyle w:val="6"/>
              <w:ind w:left="0" w:firstLine="0" w:firstLineChars="0"/>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a.学生基本信息管理，字段要求按照管理部门要求进行设置。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94" w:type="dxa"/>
            <w:vMerge w:val="continue"/>
            <w:noWrap w:val="0"/>
            <w:vAlign w:val="center"/>
          </w:tcPr>
          <w:p>
            <w:pPr>
              <w:jc w:val="left"/>
              <w:rPr>
                <w:rFonts w:hint="eastAsia" w:ascii="宋体" w:hAnsi="宋体" w:cs="宋体"/>
                <w:color w:val="auto"/>
                <w:kern w:val="0"/>
                <w:sz w:val="22"/>
                <w:highlight w:val="none"/>
              </w:rPr>
            </w:pPr>
          </w:p>
        </w:tc>
        <w:tc>
          <w:tcPr>
            <w:tcW w:w="1187" w:type="dxa"/>
            <w:noWrap w:val="0"/>
            <w:vAlign w:val="center"/>
          </w:tcPr>
          <w:p>
            <w:pPr>
              <w:widowControl/>
              <w:jc w:val="left"/>
              <w:textAlignment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科研机构平台</w:t>
            </w:r>
          </w:p>
        </w:tc>
        <w:tc>
          <w:tcPr>
            <w:tcW w:w="6657" w:type="dxa"/>
            <w:noWrap w:val="0"/>
            <w:vAlign w:val="center"/>
          </w:tcPr>
          <w:p>
            <w:pPr>
              <w:widowControl/>
              <w:jc w:val="left"/>
              <w:textAlignment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1.信息登记：支持各级科研机构平台的信息登记管理。包括平台基本信息、规章制度、仪器设备、开放交流以及平台年报等。</w:t>
            </w:r>
          </w:p>
          <w:p>
            <w:pPr>
              <w:widowControl/>
              <w:jc w:val="left"/>
              <w:textAlignment w:val="center"/>
              <w:rPr>
                <w:rFonts w:ascii="宋体" w:hAnsi="宋体" w:cs="宋体"/>
                <w:color w:val="auto"/>
                <w:kern w:val="0"/>
                <w:sz w:val="22"/>
                <w:highlight w:val="none"/>
                <w:lang w:bidi="ar"/>
              </w:rPr>
            </w:pPr>
            <w:r>
              <w:rPr>
                <w:rFonts w:hint="eastAsia" w:ascii="宋体" w:hAnsi="宋体" w:cs="宋体"/>
                <w:color w:val="auto"/>
                <w:kern w:val="0"/>
                <w:sz w:val="22"/>
                <w:highlight w:val="none"/>
                <w:lang w:bidi="ar"/>
              </w:rPr>
              <w:t>2.数据统计：支持科研平台相关的数据统计，包括平台科研人员、项目、成果和获奖情况等。</w:t>
            </w:r>
          </w:p>
          <w:p>
            <w:pPr>
              <w:pStyle w:val="6"/>
              <w:ind w:left="440" w:hanging="440"/>
              <w:rPr>
                <w:rFonts w:ascii="宋体" w:hAnsi="宋体" w:cs="宋体"/>
                <w:color w:val="auto"/>
                <w:kern w:val="0"/>
                <w:sz w:val="22"/>
                <w:highlight w:val="none"/>
                <w:lang w:bidi="ar"/>
              </w:rPr>
            </w:pPr>
            <w:r>
              <w:rPr>
                <w:rFonts w:hint="eastAsia" w:ascii="宋体" w:hAnsi="宋体" w:cs="宋体"/>
                <w:color w:val="auto"/>
                <w:kern w:val="0"/>
                <w:sz w:val="22"/>
                <w:highlight w:val="none"/>
                <w:lang w:bidi="ar"/>
              </w:rPr>
              <w:t>3</w:t>
            </w:r>
            <w:r>
              <w:rPr>
                <w:rFonts w:ascii="宋体" w:hAnsi="宋体" w:cs="宋体"/>
                <w:color w:val="auto"/>
                <w:kern w:val="0"/>
                <w:sz w:val="22"/>
                <w:highlight w:val="none"/>
                <w:lang w:bidi="ar"/>
              </w:rPr>
              <w:t>.</w:t>
            </w:r>
            <w:r>
              <w:rPr>
                <w:rFonts w:hint="eastAsia" w:ascii="宋体" w:hAnsi="宋体" w:cs="宋体"/>
                <w:color w:val="auto"/>
                <w:kern w:val="0"/>
                <w:sz w:val="22"/>
                <w:highlight w:val="none"/>
                <w:lang w:bidi="ar"/>
              </w:rPr>
              <w:t>对于政府批准的科研机构，对平台科研人员、项目、成果及经费</w:t>
            </w:r>
          </w:p>
          <w:p>
            <w:pPr>
              <w:pStyle w:val="6"/>
              <w:ind w:left="440" w:hanging="440"/>
              <w:rPr>
                <w:rFonts w:hint="eastAsia"/>
                <w:color w:val="auto"/>
                <w:highlight w:val="none"/>
                <w:lang w:bidi="ar"/>
              </w:rPr>
            </w:pPr>
            <w:r>
              <w:rPr>
                <w:rFonts w:hint="eastAsia" w:ascii="宋体" w:hAnsi="宋体" w:cs="宋体"/>
                <w:color w:val="auto"/>
                <w:kern w:val="0"/>
                <w:sz w:val="22"/>
                <w:highlight w:val="none"/>
                <w:lang w:bidi="ar"/>
              </w:rPr>
              <w:t>使用情况进行统计。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94" w:type="dxa"/>
            <w:vMerge w:val="restart"/>
            <w:noWrap w:val="0"/>
            <w:vAlign w:val="center"/>
          </w:tcPr>
          <w:p>
            <w:pPr>
              <w:widowControl/>
              <w:jc w:val="left"/>
              <w:textAlignment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系统集成</w:t>
            </w:r>
          </w:p>
        </w:tc>
        <w:tc>
          <w:tcPr>
            <w:tcW w:w="1187" w:type="dxa"/>
            <w:noWrap w:val="0"/>
            <w:vAlign w:val="center"/>
          </w:tcPr>
          <w:p>
            <w:pPr>
              <w:widowControl/>
              <w:jc w:val="left"/>
              <w:textAlignment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统一身份认证</w:t>
            </w:r>
          </w:p>
        </w:tc>
        <w:tc>
          <w:tcPr>
            <w:tcW w:w="6657" w:type="dxa"/>
            <w:noWrap w:val="0"/>
            <w:vAlign w:val="center"/>
          </w:tcPr>
          <w:p>
            <w:pPr>
              <w:widowControl/>
              <w:jc w:val="left"/>
              <w:textAlignment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1.实现登录认证源的对接/单点登录集成。</w:t>
            </w:r>
          </w:p>
          <w:p>
            <w:pPr>
              <w:pStyle w:val="6"/>
              <w:ind w:left="0" w:firstLine="0" w:firstLineChars="0"/>
              <w:rPr>
                <w:rFonts w:ascii="宋体" w:hAnsi="宋体" w:cs="宋体"/>
                <w:color w:val="auto"/>
                <w:kern w:val="0"/>
                <w:sz w:val="22"/>
                <w:highlight w:val="none"/>
                <w:lang w:bidi="ar"/>
              </w:rPr>
            </w:pPr>
            <w:r>
              <w:rPr>
                <w:rFonts w:hint="eastAsia" w:ascii="宋体" w:hAnsi="宋体" w:cs="宋体"/>
                <w:color w:val="auto"/>
                <w:kern w:val="0"/>
                <w:sz w:val="22"/>
                <w:highlight w:val="none"/>
                <w:lang w:bidi="ar"/>
              </w:rPr>
              <w:t>2.实现统一身份认证，经过学校官网认证后，可以直接跳转科研管理系统进行相关业务处理。</w:t>
            </w:r>
          </w:p>
          <w:p>
            <w:pPr>
              <w:pStyle w:val="6"/>
              <w:ind w:left="0" w:firstLine="0" w:firstLineChars="0"/>
              <w:rPr>
                <w:rFonts w:hint="eastAsia" w:ascii="宋体" w:hAnsi="宋体" w:cs="宋体"/>
                <w:color w:val="auto"/>
                <w:sz w:val="22"/>
                <w:highlight w:val="none"/>
              </w:rPr>
            </w:pPr>
            <w:r>
              <w:rPr>
                <w:rFonts w:hint="eastAsia" w:ascii="宋体" w:hAnsi="宋体" w:cs="宋体"/>
                <w:color w:val="auto"/>
                <w:kern w:val="0"/>
                <w:sz w:val="22"/>
                <w:highlight w:val="none"/>
                <w:lang w:bidi="ar"/>
              </w:rPr>
              <w:t>3</w:t>
            </w:r>
            <w:r>
              <w:rPr>
                <w:rFonts w:ascii="宋体" w:hAnsi="宋体" w:cs="宋体"/>
                <w:color w:val="auto"/>
                <w:kern w:val="0"/>
                <w:sz w:val="22"/>
                <w:highlight w:val="none"/>
                <w:lang w:bidi="ar"/>
              </w:rPr>
              <w:t>.</w:t>
            </w:r>
            <w:r>
              <w:rPr>
                <w:rFonts w:hint="eastAsia" w:ascii="宋体" w:hAnsi="宋体" w:cs="宋体"/>
                <w:color w:val="auto"/>
                <w:kern w:val="0"/>
                <w:sz w:val="22"/>
                <w:highlight w:val="none"/>
                <w:lang w:bidi="ar"/>
              </w:rPr>
              <w:t>非校内人员（评审专家）登录，实现访客登录。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94" w:type="dxa"/>
            <w:vMerge w:val="continue"/>
            <w:noWrap w:val="0"/>
            <w:vAlign w:val="center"/>
          </w:tcPr>
          <w:p>
            <w:pPr>
              <w:jc w:val="left"/>
              <w:rPr>
                <w:rFonts w:hint="eastAsia" w:ascii="宋体" w:hAnsi="宋体" w:cs="宋体"/>
                <w:color w:val="auto"/>
                <w:kern w:val="0"/>
                <w:sz w:val="22"/>
                <w:highlight w:val="none"/>
              </w:rPr>
            </w:pPr>
          </w:p>
        </w:tc>
        <w:tc>
          <w:tcPr>
            <w:tcW w:w="1187" w:type="dxa"/>
            <w:noWrap w:val="0"/>
            <w:vAlign w:val="center"/>
          </w:tcPr>
          <w:p>
            <w:pPr>
              <w:widowControl/>
              <w:jc w:val="left"/>
              <w:textAlignment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数据中心对接</w:t>
            </w:r>
          </w:p>
        </w:tc>
        <w:tc>
          <w:tcPr>
            <w:tcW w:w="6657" w:type="dxa"/>
            <w:noWrap w:val="0"/>
            <w:vAlign w:val="center"/>
          </w:tcPr>
          <w:p>
            <w:pPr>
              <w:widowControl/>
              <w:jc w:val="left"/>
              <w:textAlignment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1.实现所有人员基本信息、组织架构及学生基本信息的同步。</w:t>
            </w:r>
          </w:p>
          <w:p>
            <w:pPr>
              <w:widowControl/>
              <w:jc w:val="left"/>
              <w:textAlignment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2.人员数据、组织结构数据与数据中心对接，字段要求需按照管理部门的管理要求进行相关设置。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1194" w:type="dxa"/>
            <w:vMerge w:val="continue"/>
            <w:noWrap w:val="0"/>
            <w:vAlign w:val="center"/>
          </w:tcPr>
          <w:p>
            <w:pPr>
              <w:jc w:val="left"/>
              <w:rPr>
                <w:rFonts w:hint="eastAsia" w:ascii="宋体" w:hAnsi="宋体" w:cs="宋体"/>
                <w:color w:val="auto"/>
                <w:kern w:val="0"/>
                <w:sz w:val="22"/>
                <w:highlight w:val="none"/>
              </w:rPr>
            </w:pPr>
          </w:p>
        </w:tc>
        <w:tc>
          <w:tcPr>
            <w:tcW w:w="1187" w:type="dxa"/>
            <w:noWrap w:val="0"/>
            <w:vAlign w:val="center"/>
          </w:tcPr>
          <w:p>
            <w:pPr>
              <w:widowControl/>
              <w:jc w:val="left"/>
              <w:textAlignment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短信、邮件对接</w:t>
            </w:r>
          </w:p>
        </w:tc>
        <w:tc>
          <w:tcPr>
            <w:tcW w:w="6657" w:type="dxa"/>
            <w:noWrap w:val="0"/>
            <w:vAlign w:val="center"/>
          </w:tcPr>
          <w:p>
            <w:pPr>
              <w:widowControl/>
              <w:jc w:val="left"/>
              <w:textAlignment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1.邮件平台对接，实现消息推送、提醒。</w:t>
            </w:r>
          </w:p>
          <w:p>
            <w:pPr>
              <w:widowControl/>
              <w:jc w:val="left"/>
              <w:textAlignment w:val="center"/>
              <w:rPr>
                <w:rFonts w:ascii="宋体" w:hAnsi="宋体" w:cs="宋体"/>
                <w:color w:val="auto"/>
                <w:kern w:val="0"/>
                <w:sz w:val="22"/>
                <w:highlight w:val="none"/>
                <w:lang w:bidi="ar"/>
              </w:rPr>
            </w:pPr>
            <w:r>
              <w:rPr>
                <w:rFonts w:hint="eastAsia" w:ascii="宋体" w:hAnsi="宋体" w:cs="宋体"/>
                <w:color w:val="auto"/>
                <w:kern w:val="0"/>
                <w:sz w:val="22"/>
                <w:highlight w:val="none"/>
                <w:lang w:bidi="ar"/>
              </w:rPr>
              <w:t>2.支持群发通知消息到邮件平台。</w:t>
            </w:r>
          </w:p>
          <w:p>
            <w:pPr>
              <w:pStyle w:val="6"/>
              <w:ind w:left="440" w:hanging="440"/>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w:t>
            </w:r>
            <w:r>
              <w:rPr>
                <w:rFonts w:ascii="宋体" w:hAnsi="宋体" w:cs="宋体"/>
                <w:color w:val="auto"/>
                <w:kern w:val="0"/>
                <w:sz w:val="22"/>
                <w:highlight w:val="none"/>
                <w:lang w:bidi="ar"/>
              </w:rPr>
              <w:t>.</w:t>
            </w:r>
            <w:r>
              <w:rPr>
                <w:rFonts w:hint="eastAsia" w:ascii="宋体" w:hAnsi="宋体" w:cs="宋体"/>
                <w:color w:val="auto"/>
                <w:kern w:val="0"/>
                <w:sz w:val="22"/>
                <w:highlight w:val="none"/>
                <w:lang w:bidi="ar"/>
              </w:rPr>
              <w:t>短信对接，支持发送短信通知给评审专家。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94" w:type="dxa"/>
            <w:vMerge w:val="continue"/>
            <w:noWrap w:val="0"/>
            <w:vAlign w:val="center"/>
          </w:tcPr>
          <w:p>
            <w:pPr>
              <w:jc w:val="left"/>
              <w:rPr>
                <w:rFonts w:hint="eastAsia" w:ascii="宋体" w:hAnsi="宋体" w:cs="宋体"/>
                <w:color w:val="auto"/>
                <w:kern w:val="0"/>
                <w:sz w:val="22"/>
                <w:highlight w:val="none"/>
              </w:rPr>
            </w:pPr>
          </w:p>
        </w:tc>
        <w:tc>
          <w:tcPr>
            <w:tcW w:w="1187" w:type="dxa"/>
            <w:noWrap w:val="0"/>
            <w:vAlign w:val="center"/>
          </w:tcPr>
          <w:p>
            <w:pPr>
              <w:widowControl/>
              <w:jc w:val="left"/>
              <w:textAlignment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数据共享</w:t>
            </w:r>
          </w:p>
        </w:tc>
        <w:tc>
          <w:tcPr>
            <w:tcW w:w="6657" w:type="dxa"/>
            <w:noWrap w:val="0"/>
            <w:vAlign w:val="center"/>
          </w:tcPr>
          <w:p>
            <w:pPr>
              <w:widowControl/>
              <w:jc w:val="left"/>
              <w:textAlignment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1.与学校数据共享平台对接，实现系统内科研相关所有数据共享。</w:t>
            </w:r>
          </w:p>
          <w:p>
            <w:pPr>
              <w:widowControl/>
              <w:jc w:val="left"/>
              <w:textAlignment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2.共享科研相关所有数据，并提供相关数据共享服务。</w:t>
            </w:r>
          </w:p>
          <w:p>
            <w:pPr>
              <w:widowControl/>
              <w:jc w:val="left"/>
              <w:textAlignment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3.开放数据库，提供数据字典，支持数据中心读取。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94" w:type="dxa"/>
            <w:noWrap w:val="0"/>
            <w:vAlign w:val="center"/>
          </w:tcPr>
          <w:p>
            <w:pPr>
              <w:widowControl/>
              <w:jc w:val="left"/>
              <w:textAlignment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历史数据迁移</w:t>
            </w:r>
          </w:p>
        </w:tc>
        <w:tc>
          <w:tcPr>
            <w:tcW w:w="1187" w:type="dxa"/>
            <w:noWrap w:val="0"/>
            <w:vAlign w:val="center"/>
          </w:tcPr>
          <w:p>
            <w:pPr>
              <w:widowControl/>
              <w:jc w:val="left"/>
              <w:textAlignment w:val="center"/>
              <w:rPr>
                <w:rFonts w:hint="eastAsia" w:ascii="宋体" w:hAnsi="宋体" w:cs="宋体"/>
                <w:color w:val="auto"/>
                <w:kern w:val="0"/>
                <w:sz w:val="22"/>
                <w:highlight w:val="none"/>
              </w:rPr>
            </w:pPr>
            <w:r>
              <w:rPr>
                <w:rFonts w:hint="eastAsia" w:ascii="宋体" w:hAnsi="宋体" w:cs="宋体"/>
                <w:color w:val="auto"/>
                <w:kern w:val="0"/>
                <w:sz w:val="22"/>
                <w:highlight w:val="none"/>
                <w:lang w:bidi="ar"/>
              </w:rPr>
              <w:t>历史数据迁移</w:t>
            </w:r>
          </w:p>
        </w:tc>
        <w:tc>
          <w:tcPr>
            <w:tcW w:w="6657" w:type="dxa"/>
            <w:noWrap w:val="0"/>
            <w:vAlign w:val="center"/>
          </w:tcPr>
          <w:p>
            <w:pPr>
              <w:widowControl/>
              <w:jc w:val="left"/>
              <w:textAlignment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1.支持所有历史数据分析、处理、清洗、迁移和校验，能够确保新老系统平稳过渡。</w:t>
            </w:r>
          </w:p>
          <w:p>
            <w:pPr>
              <w:widowControl/>
              <w:jc w:val="left"/>
              <w:textAlignment w:val="center"/>
              <w:rPr>
                <w:rFonts w:hint="eastAsia" w:ascii="宋体" w:hAnsi="宋体" w:cs="宋体"/>
                <w:color w:val="auto"/>
                <w:kern w:val="0"/>
                <w:sz w:val="22"/>
                <w:highlight w:val="none"/>
                <w:lang w:bidi="ar"/>
              </w:rPr>
            </w:pPr>
            <w:r>
              <w:rPr>
                <w:rFonts w:hint="eastAsia" w:ascii="宋体" w:hAnsi="宋体" w:cs="宋体"/>
                <w:color w:val="auto"/>
                <w:kern w:val="0"/>
                <w:sz w:val="22"/>
                <w:highlight w:val="none"/>
                <w:lang w:bidi="ar"/>
              </w:rPr>
              <w:t>2.将现有项目数据与新系统对接迁移，支持不同方式的旧数据导入。</w:t>
            </w:r>
          </w:p>
        </w:tc>
      </w:tr>
    </w:tbl>
    <w:p>
      <w:pPr>
        <w:pStyle w:val="6"/>
        <w:ind w:left="418" w:hanging="418"/>
        <w:rPr>
          <w:rFonts w:hint="eastAsia" w:ascii="宋体" w:hAnsi="宋体" w:cs="宋体"/>
          <w:b/>
          <w:bCs/>
          <w:color w:val="auto"/>
          <w:spacing w:val="-6"/>
          <w:sz w:val="22"/>
          <w:highlight w:val="none"/>
        </w:rPr>
      </w:pPr>
    </w:p>
    <w:p>
      <w:pPr>
        <w:pStyle w:val="2"/>
        <w:spacing w:before="240" w:beforeLines="100" w:after="240" w:afterLines="100" w:line="240" w:lineRule="auto"/>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rPr>
        <w:t>四、项目配套要求</w:t>
      </w:r>
    </w:p>
    <w:p>
      <w:pPr>
        <w:adjustRightInd w:val="0"/>
        <w:snapToGrid w:val="0"/>
        <w:spacing w:line="360" w:lineRule="auto"/>
        <w:ind w:firstLine="440" w:firstLineChars="200"/>
        <w:rPr>
          <w:rFonts w:hint="eastAsia" w:ascii="宋体" w:hAnsi="宋体" w:cs="宋体"/>
          <w:color w:val="auto"/>
          <w:sz w:val="22"/>
          <w:highlight w:val="none"/>
        </w:rPr>
      </w:pPr>
      <w:r>
        <w:rPr>
          <w:rFonts w:hint="eastAsia" w:ascii="宋体" w:hAnsi="宋体" w:cs="宋体"/>
          <w:color w:val="auto"/>
          <w:sz w:val="22"/>
          <w:highlight w:val="none"/>
        </w:rPr>
        <w:t>1、稳定性：系统架构设计合理，结合必要的集群、热备等手段，保证系统不间断运行。系统用户数量不受限制，可支持2000人的同时在线访问，可支持200用户的并发访问量。系统可以全天候7*24天不间断运行，不会因为程序错误导致响应失败或者系统崩溃。数据库设计要保证实现数据高效查询检索、数据更新及数据调用。</w:t>
      </w:r>
    </w:p>
    <w:p>
      <w:pPr>
        <w:adjustRightInd w:val="0"/>
        <w:snapToGrid w:val="0"/>
        <w:spacing w:line="360" w:lineRule="auto"/>
        <w:ind w:firstLine="440" w:firstLineChars="200"/>
        <w:rPr>
          <w:rFonts w:hint="eastAsia" w:ascii="宋体" w:hAnsi="宋体" w:cs="宋体"/>
          <w:color w:val="auto"/>
          <w:sz w:val="22"/>
          <w:highlight w:val="none"/>
        </w:rPr>
      </w:pPr>
      <w:r>
        <w:rPr>
          <w:rFonts w:hint="eastAsia" w:ascii="宋体" w:hAnsi="宋体" w:cs="宋体"/>
          <w:color w:val="auto"/>
          <w:sz w:val="22"/>
          <w:highlight w:val="none"/>
        </w:rPr>
        <w:t>2、开发技术：系统开发框架基于 B/S 架构，基于Java语言，符合 Java EE 规范的多层体系结构。采用成熟的、符合技术标准的服务器、中间件产品，数据库支持</w:t>
      </w:r>
      <w:r>
        <w:rPr>
          <w:rFonts w:hint="eastAsia" w:ascii="宋体" w:hAnsi="宋体" w:cs="宋体"/>
          <w:b/>
          <w:bCs/>
          <w:color w:val="auto"/>
          <w:sz w:val="22"/>
          <w:highlight w:val="none"/>
        </w:rPr>
        <w:t>SQL Server2008R2或者MySQL 5.5</w:t>
      </w:r>
      <w:r>
        <w:rPr>
          <w:rFonts w:hint="eastAsia" w:ascii="宋体" w:hAnsi="宋体" w:cs="宋体"/>
          <w:color w:val="auto"/>
          <w:sz w:val="22"/>
          <w:highlight w:val="none"/>
        </w:rPr>
        <w:t>及以上版本，服务器操作系统支持Windows或者Linux。</w:t>
      </w:r>
    </w:p>
    <w:p>
      <w:pPr>
        <w:adjustRightInd w:val="0"/>
        <w:snapToGrid w:val="0"/>
        <w:spacing w:line="360" w:lineRule="auto"/>
        <w:ind w:firstLine="440" w:firstLineChars="200"/>
        <w:rPr>
          <w:rFonts w:hint="eastAsia" w:ascii="宋体" w:hAnsi="宋体" w:cs="宋体"/>
          <w:color w:val="auto"/>
          <w:sz w:val="22"/>
          <w:highlight w:val="none"/>
        </w:rPr>
      </w:pPr>
      <w:r>
        <w:rPr>
          <w:rFonts w:hint="eastAsia" w:ascii="宋体" w:hAnsi="宋体" w:cs="宋体"/>
          <w:color w:val="auto"/>
          <w:sz w:val="22"/>
          <w:highlight w:val="none"/>
        </w:rPr>
        <w:t>3、兼容性：基于Html5语言构建，系统应保证Windows 10及其以上版本客户端的正常使用，浏览器兼容IE10及其以上版本 ，并同时兼容非IE内核浏览器，如360、谷歌、火狐、搜狗等。</w:t>
      </w:r>
    </w:p>
    <w:p>
      <w:pPr>
        <w:adjustRightInd w:val="0"/>
        <w:snapToGrid w:val="0"/>
        <w:spacing w:line="360" w:lineRule="auto"/>
        <w:ind w:firstLine="440" w:firstLineChars="200"/>
        <w:rPr>
          <w:rFonts w:hint="eastAsia" w:ascii="宋体" w:hAnsi="宋体" w:cs="宋体"/>
          <w:color w:val="auto"/>
          <w:sz w:val="22"/>
          <w:highlight w:val="none"/>
        </w:rPr>
      </w:pPr>
      <w:r>
        <w:rPr>
          <w:rFonts w:hint="eastAsia" w:ascii="宋体" w:hAnsi="宋体" w:cs="宋体"/>
          <w:color w:val="auto"/>
          <w:sz w:val="22"/>
          <w:highlight w:val="none"/>
        </w:rPr>
        <w:t>4、安全性：1）提供较完善的数据加密机制，确保数据存储和数据传输安全；2）提供明晰的鉴权机制，按业务要求实现功能分级，并对用户分级授权；3）确保现有业务都能通过网络操作完成。4）系统采用分级管理模式，对不同级别用户的操作权限和数据访问范围有严格的限制，系统管理员可以根据学校情况灵活设置安全策略。</w:t>
      </w:r>
      <w:r>
        <w:rPr>
          <w:rFonts w:ascii="宋体" w:hAnsi="宋体" w:cs="宋体"/>
          <w:color w:val="auto"/>
          <w:sz w:val="22"/>
          <w:highlight w:val="none"/>
        </w:rPr>
        <w:t>5</w:t>
      </w:r>
      <w:r>
        <w:rPr>
          <w:rFonts w:hint="eastAsia" w:ascii="宋体" w:hAnsi="宋体" w:cs="宋体"/>
          <w:color w:val="auto"/>
          <w:sz w:val="22"/>
          <w:highlight w:val="none"/>
        </w:rPr>
        <w:t>）评审专家需设立独立访问端口，不受校内访问限制，并做到数据权限安全隔离。</w:t>
      </w:r>
    </w:p>
    <w:p>
      <w:pPr>
        <w:adjustRightInd w:val="0"/>
        <w:snapToGrid w:val="0"/>
        <w:spacing w:line="360" w:lineRule="auto"/>
        <w:ind w:firstLine="440" w:firstLineChars="200"/>
        <w:rPr>
          <w:rFonts w:hint="eastAsia" w:ascii="宋体" w:hAnsi="宋体" w:cs="宋体"/>
          <w:color w:val="auto"/>
          <w:sz w:val="22"/>
          <w:highlight w:val="none"/>
        </w:rPr>
      </w:pPr>
      <w:r>
        <w:rPr>
          <w:rFonts w:hint="eastAsia" w:ascii="宋体" w:hAnsi="宋体" w:cs="宋体"/>
          <w:color w:val="auto"/>
          <w:sz w:val="22"/>
          <w:highlight w:val="none"/>
        </w:rPr>
        <w:t>5、可审计：系统具备日志跟踪与分析功能，提供详尽的用户操作日志，提供丰富的查询方式，供追溯和追责。</w:t>
      </w:r>
    </w:p>
    <w:p>
      <w:pPr>
        <w:adjustRightInd w:val="0"/>
        <w:snapToGrid w:val="0"/>
        <w:spacing w:line="360" w:lineRule="auto"/>
        <w:ind w:firstLine="440" w:firstLineChars="200"/>
        <w:rPr>
          <w:rFonts w:hint="eastAsia" w:ascii="宋体" w:hAnsi="宋体" w:cs="宋体"/>
          <w:color w:val="auto"/>
          <w:sz w:val="22"/>
          <w:highlight w:val="none"/>
        </w:rPr>
      </w:pPr>
      <w:r>
        <w:rPr>
          <w:rFonts w:hint="eastAsia" w:ascii="宋体" w:hAnsi="宋体" w:cs="宋体"/>
          <w:color w:val="auto"/>
          <w:sz w:val="22"/>
          <w:highlight w:val="none"/>
        </w:rPr>
        <w:t>6、可靠性：系统运行稳定可靠，充分考虑冗余问题，要在系统设计范围内保证随着系统数据量的增加，系统性能不出现显著下降。</w:t>
      </w:r>
    </w:p>
    <w:p>
      <w:pPr>
        <w:adjustRightInd w:val="0"/>
        <w:snapToGrid w:val="0"/>
        <w:spacing w:line="360" w:lineRule="auto"/>
        <w:ind w:firstLine="440" w:firstLineChars="200"/>
        <w:rPr>
          <w:rFonts w:hint="eastAsia" w:ascii="宋体" w:hAnsi="宋体" w:cs="宋体"/>
          <w:color w:val="auto"/>
          <w:sz w:val="22"/>
          <w:highlight w:val="none"/>
        </w:rPr>
      </w:pPr>
      <w:r>
        <w:rPr>
          <w:rFonts w:hint="eastAsia" w:ascii="宋体" w:hAnsi="宋体" w:cs="宋体"/>
          <w:color w:val="auto"/>
          <w:sz w:val="22"/>
          <w:highlight w:val="none"/>
        </w:rPr>
        <w:t>7、可扩展性：系统架构设计可满足业务变化引起的系统功能升级。科研创新服务平台是业务性非常强的应用系统，为保证系统的易用性和可操作性，在系统中为不同类型的用户专门设计的符合其操作习惯的用户界面和操作流程，确保系统的简单易用。</w:t>
      </w:r>
    </w:p>
    <w:p>
      <w:pPr>
        <w:adjustRightInd w:val="0"/>
        <w:snapToGrid w:val="0"/>
        <w:spacing w:line="360" w:lineRule="auto"/>
        <w:ind w:firstLine="440" w:firstLineChars="200"/>
        <w:rPr>
          <w:rFonts w:hint="eastAsia" w:ascii="宋体" w:hAnsi="宋体" w:cs="宋体"/>
          <w:color w:val="auto"/>
          <w:sz w:val="22"/>
          <w:highlight w:val="none"/>
        </w:rPr>
      </w:pPr>
      <w:r>
        <w:rPr>
          <w:rFonts w:hint="eastAsia" w:ascii="宋体" w:hAnsi="宋体" w:cs="宋体"/>
          <w:color w:val="auto"/>
          <w:sz w:val="22"/>
          <w:highlight w:val="none"/>
        </w:rPr>
        <w:t>8、易维护性：采用代码维护、公式调整、参数配置等手段，确保用户可自行维护系统基础设置数据项。系统采用纯B/S结构，系统升级和日常维护只需要在服务器进行即可。系统为管理员提供了丰富的系统设置和维护功能，包括用户和权限设置、字段维护、代码表维护、日志监控、数据批量处理、远程备份、数据同步等等，让管理员在办公室就可以对系统进行各项日常维护工作。</w:t>
      </w:r>
    </w:p>
    <w:p>
      <w:pPr>
        <w:adjustRightInd w:val="0"/>
        <w:snapToGrid w:val="0"/>
        <w:spacing w:line="360" w:lineRule="auto"/>
        <w:ind w:firstLine="440" w:firstLineChars="200"/>
        <w:rPr>
          <w:rFonts w:hint="eastAsia" w:ascii="宋体" w:hAnsi="宋体" w:cs="宋体"/>
          <w:color w:val="auto"/>
          <w:sz w:val="22"/>
          <w:highlight w:val="none"/>
        </w:rPr>
      </w:pPr>
      <w:r>
        <w:rPr>
          <w:rFonts w:hint="eastAsia" w:ascii="宋体" w:hAnsi="宋体" w:cs="宋体"/>
          <w:color w:val="auto"/>
          <w:sz w:val="22"/>
          <w:highlight w:val="none"/>
        </w:rPr>
        <w:t>9、易操作性：系统设计符合业界通用规范和习惯用法，满足非专业用户的日常使用。</w:t>
      </w:r>
    </w:p>
    <w:p>
      <w:pPr>
        <w:snapToGrid w:val="0"/>
        <w:spacing w:line="360" w:lineRule="exact"/>
        <w:rPr>
          <w:rFonts w:ascii="宋体" w:hAnsi="宋体" w:cs="宋体"/>
          <w:b/>
          <w:bCs/>
          <w:color w:val="auto"/>
          <w:spacing w:val="-6"/>
          <w:sz w:val="22"/>
          <w:highlight w:val="none"/>
        </w:rPr>
      </w:pPr>
      <w:r>
        <w:rPr>
          <w:rFonts w:hint="eastAsia" w:ascii="宋体" w:hAnsi="宋体" w:cs="宋体"/>
          <w:b/>
          <w:bCs/>
          <w:color w:val="auto"/>
          <w:spacing w:val="-6"/>
          <w:sz w:val="22"/>
          <w:highlight w:val="none"/>
        </w:rPr>
        <w:t>五、其他</w:t>
      </w:r>
    </w:p>
    <w:p>
      <w:pPr>
        <w:snapToGrid w:val="0"/>
        <w:spacing w:line="360" w:lineRule="exact"/>
        <w:ind w:firstLine="418" w:firstLineChars="200"/>
        <w:jc w:val="left"/>
        <w:rPr>
          <w:rFonts w:ascii="宋体" w:hAnsi="宋体" w:cs="宋体"/>
          <w:b/>
          <w:bCs/>
          <w:color w:val="auto"/>
          <w:spacing w:val="-6"/>
          <w:sz w:val="22"/>
          <w:highlight w:val="none"/>
        </w:rPr>
      </w:pPr>
      <w:r>
        <w:rPr>
          <w:rFonts w:hint="eastAsia" w:ascii="宋体" w:hAnsi="宋体" w:cs="宋体"/>
          <w:b/>
          <w:bCs/>
          <w:color w:val="auto"/>
          <w:spacing w:val="-6"/>
          <w:sz w:val="22"/>
          <w:highlight w:val="none"/>
        </w:rPr>
        <w:t>1.除招标文件中所明确的采购需求外，欢迎其他能满足本项目采购需求且性所明确采购需求的产品参加投标报价。同时在采购需求偏离表中作出详细对比说明。</w:t>
      </w:r>
    </w:p>
    <w:p>
      <w:pPr>
        <w:snapToGrid w:val="0"/>
        <w:spacing w:line="360" w:lineRule="exact"/>
        <w:ind w:firstLine="418" w:firstLineChars="200"/>
        <w:jc w:val="left"/>
        <w:rPr>
          <w:rFonts w:ascii="宋体" w:hAnsi="宋体" w:cs="宋体"/>
          <w:b/>
          <w:bCs/>
          <w:color w:val="auto"/>
          <w:spacing w:val="-6"/>
          <w:sz w:val="22"/>
          <w:highlight w:val="none"/>
        </w:rPr>
      </w:pPr>
      <w:r>
        <w:rPr>
          <w:rFonts w:hint="eastAsia" w:ascii="宋体" w:hAnsi="宋体" w:cs="宋体"/>
          <w:b/>
          <w:bCs/>
          <w:color w:val="auto"/>
          <w:spacing w:val="-6"/>
          <w:sz w:val="22"/>
          <w:highlight w:val="none"/>
        </w:rPr>
        <w:t>2.带“▲且加下划线”的有关技术和商务条款为实质性条款，投标人必须做出实质性响应，否则视为投标无效。</w:t>
      </w:r>
    </w:p>
    <w:p>
      <w:pPr>
        <w:snapToGrid w:val="0"/>
        <w:spacing w:line="360" w:lineRule="exact"/>
        <w:ind w:firstLine="418" w:firstLineChars="200"/>
        <w:jc w:val="left"/>
        <w:rPr>
          <w:rFonts w:ascii="宋体" w:hAnsi="宋体" w:cs="宋体"/>
          <w:b/>
          <w:bCs/>
          <w:color w:val="auto"/>
          <w:spacing w:val="-6"/>
          <w:sz w:val="22"/>
          <w:highlight w:val="none"/>
        </w:rPr>
      </w:pPr>
      <w:r>
        <w:rPr>
          <w:rFonts w:hint="eastAsia" w:ascii="宋体" w:hAnsi="宋体" w:cs="宋体"/>
          <w:b/>
          <w:bCs/>
          <w:color w:val="auto"/>
          <w:spacing w:val="-6"/>
          <w:sz w:val="22"/>
          <w:highlight w:val="none"/>
        </w:rPr>
        <w:t>3.如技术要求中未特别注明需执行的国家相关标准、行业标准、地方标准或者其他标准、规范，则统一执行最新标准、规范。</w:t>
      </w:r>
    </w:p>
    <w:p>
      <w:pPr>
        <w:snapToGrid w:val="0"/>
        <w:spacing w:line="360" w:lineRule="exact"/>
        <w:ind w:firstLine="418" w:firstLineChars="200"/>
        <w:jc w:val="left"/>
        <w:rPr>
          <w:rFonts w:ascii="宋体" w:hAnsi="宋体" w:cs="宋体"/>
          <w:b/>
          <w:color w:val="auto"/>
          <w:sz w:val="32"/>
          <w:highlight w:val="none"/>
        </w:rPr>
      </w:pPr>
      <w:r>
        <w:rPr>
          <w:rFonts w:hint="eastAsia" w:ascii="宋体" w:hAnsi="宋体" w:cs="宋体"/>
          <w:b/>
          <w:bCs/>
          <w:color w:val="auto"/>
          <w:spacing w:val="-6"/>
          <w:sz w:val="22"/>
          <w:highlight w:val="none"/>
        </w:rPr>
        <w:t>4.技术部分中需要提供的证明材料有有效期的必须在有效期内，否则视为未提供。</w:t>
      </w:r>
    </w:p>
    <w:p>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315A10"/>
    <w:multiLevelType w:val="singleLevel"/>
    <w:tmpl w:val="01315A10"/>
    <w:lvl w:ilvl="0" w:tentative="0">
      <w:start w:val="1"/>
      <w:numFmt w:val="decimal"/>
      <w:lvlText w:val="%1."/>
      <w:lvlJc w:val="left"/>
      <w:pPr>
        <w:tabs>
          <w:tab w:val="left" w:pos="312"/>
        </w:tabs>
      </w:pPr>
    </w:lvl>
  </w:abstractNum>
  <w:abstractNum w:abstractNumId="1">
    <w:nsid w:val="5CDC3B78"/>
    <w:multiLevelType w:val="multilevel"/>
    <w:tmpl w:val="5CDC3B78"/>
    <w:lvl w:ilvl="0" w:tentative="0">
      <w:start w:val="1"/>
      <w:numFmt w:val="decimal"/>
      <w:lvlText w:val="%1."/>
      <w:lvlJc w:val="left"/>
      <w:pPr>
        <w:ind w:left="220" w:hanging="2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6AAC1384"/>
    <w:multiLevelType w:val="singleLevel"/>
    <w:tmpl w:val="6AAC1384"/>
    <w:lvl w:ilvl="0" w:tentative="0">
      <w:start w:val="3"/>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5MWJhYWQ4M2M4N2RhMTM0YTg1OGJjZWZmNjAxODIifQ=="/>
  </w:docVars>
  <w:rsids>
    <w:rsidRoot w:val="00000000"/>
    <w:rsid w:val="746A59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Indent"/>
    <w:basedOn w:val="1"/>
    <w:qFormat/>
    <w:uiPriority w:val="0"/>
    <w:pPr>
      <w:ind w:left="480" w:hanging="480" w:hangingChars="200"/>
    </w:pPr>
    <w:rPr>
      <w:sz w:val="24"/>
    </w:rPr>
  </w:style>
  <w:style w:type="paragraph" w:styleId="5">
    <w:name w:val="Plain Text"/>
    <w:basedOn w:val="1"/>
    <w:qFormat/>
    <w:uiPriority w:val="0"/>
    <w:pPr>
      <w:widowControl/>
      <w:overflowPunct w:val="0"/>
      <w:autoSpaceDE w:val="0"/>
      <w:autoSpaceDN w:val="0"/>
      <w:adjustRightInd w:val="0"/>
      <w:jc w:val="left"/>
      <w:textAlignment w:val="baseline"/>
    </w:pPr>
    <w:rPr>
      <w:rFonts w:ascii="宋体" w:hAnsi="Courier New"/>
      <w:sz w:val="24"/>
    </w:rPr>
  </w:style>
  <w:style w:type="paragraph" w:styleId="6">
    <w:name w:val="Body Text First Indent 2"/>
    <w:basedOn w:val="4"/>
    <w:unhideWhenUsed/>
    <w:qFormat/>
    <w:uiPriority w:val="99"/>
    <w:pPr>
      <w:ind w:firstLine="420"/>
    </w:pPr>
  </w:style>
  <w:style w:type="paragraph" w:customStyle="1" w:styleId="9">
    <w:name w:val="正文文字"/>
    <w:basedOn w:val="1"/>
    <w:qFormat/>
    <w:uiPriority w:val="0"/>
    <w:pPr>
      <w:widowControl/>
      <w:spacing w:line="952" w:lineRule="atLeast"/>
      <w:ind w:firstLine="419"/>
    </w:pPr>
    <w:rPr>
      <w:b/>
      <w:color w:val="000000"/>
      <w:sz w:val="44"/>
      <w:u w:val="none" w:color="000000"/>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博文</cp:lastModifiedBy>
  <dcterms:modified xsi:type="dcterms:W3CDTF">2024-05-29T03:55:05Z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D385BF5FC6794AB88B2DEA56BA3AA82E_12</vt:lpwstr>
  </property>
</Properties>
</file>