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13C1" w14:textId="77777777" w:rsidR="00CF60FE" w:rsidRPr="004F69D8" w:rsidRDefault="00CF60FE" w:rsidP="00CF60FE">
      <w:pPr>
        <w:pStyle w:val="a7"/>
        <w:spacing w:before="242"/>
        <w:rPr>
          <w:rFonts w:ascii="黑体" w:eastAsia="黑体" w:hAnsi="黑体" w:hint="eastAsia"/>
        </w:rPr>
      </w:pPr>
      <w:r w:rsidRPr="004F69D8">
        <w:rPr>
          <w:rFonts w:ascii="黑体" w:eastAsia="黑体" w:hAnsi="黑体" w:hint="eastAsia"/>
          <w:spacing w:val="-10"/>
        </w:rPr>
        <w:t xml:space="preserve">附件 </w:t>
      </w:r>
      <w:r w:rsidRPr="004F69D8">
        <w:rPr>
          <w:rFonts w:ascii="黑体" w:eastAsia="黑体" w:hAnsi="黑体"/>
          <w:spacing w:val="-10"/>
        </w:rPr>
        <w:t>1</w:t>
      </w:r>
    </w:p>
    <w:p w14:paraId="0E5D94D4" w14:textId="77777777" w:rsidR="00CF60FE" w:rsidRDefault="00CF60FE" w:rsidP="00CF60FE">
      <w:pPr>
        <w:pStyle w:val="1"/>
        <w:spacing w:line="220" w:lineRule="auto"/>
        <w:ind w:left="3260" w:right="1194" w:hanging="2206"/>
        <w:rPr>
          <w:rFonts w:ascii="Times New Roman" w:eastAsia="Times New Roman"/>
          <w:spacing w:val="-8"/>
        </w:rPr>
      </w:pPr>
    </w:p>
    <w:p w14:paraId="372347F5" w14:textId="77777777" w:rsidR="00CF60FE" w:rsidRPr="004F69D8" w:rsidRDefault="00CF60FE" w:rsidP="00CF60FE">
      <w:pPr>
        <w:pStyle w:val="1"/>
        <w:spacing w:line="220" w:lineRule="auto"/>
        <w:ind w:left="3260" w:right="1194" w:hanging="2206"/>
        <w:rPr>
          <w:rFonts w:ascii="方正小标宋简体" w:eastAsia="方正小标宋简体" w:hint="eastAsia"/>
        </w:rPr>
      </w:pPr>
      <w:r w:rsidRPr="004F69D8">
        <w:rPr>
          <w:rFonts w:ascii="方正小标宋简体" w:eastAsia="方正小标宋简体" w:hint="eastAsia"/>
          <w:spacing w:val="-8"/>
        </w:rPr>
        <w:t>2024</w:t>
      </w:r>
      <w:r w:rsidRPr="004F69D8">
        <w:rPr>
          <w:rFonts w:ascii="方正小标宋简体" w:eastAsia="方正小标宋简体" w:hint="eastAsia"/>
          <w:spacing w:val="-20"/>
        </w:rPr>
        <w:t xml:space="preserve"> </w:t>
      </w:r>
      <w:r w:rsidRPr="004F69D8">
        <w:rPr>
          <w:rFonts w:ascii="方正小标宋简体" w:eastAsia="方正小标宋简体" w:hint="eastAsia"/>
          <w:spacing w:val="-8"/>
        </w:rPr>
        <w:t>年度浙江省人力资源和社会保障</w:t>
      </w:r>
      <w:r w:rsidRPr="004F69D8">
        <w:rPr>
          <w:rFonts w:ascii="方正小标宋简体" w:eastAsia="方正小标宋简体" w:hint="eastAsia"/>
          <w:spacing w:val="-2"/>
        </w:rPr>
        <w:t>课题选题指南</w:t>
      </w:r>
    </w:p>
    <w:p w14:paraId="5F8C4BA8" w14:textId="77777777" w:rsidR="00CF60FE" w:rsidRDefault="00CF60FE" w:rsidP="00CF60FE">
      <w:pPr>
        <w:pStyle w:val="a7"/>
        <w:ind w:left="750"/>
        <w:rPr>
          <w:rFonts w:ascii="黑体" w:eastAsia="黑体" w:hAnsi="黑体"/>
          <w:spacing w:val="-12"/>
        </w:rPr>
      </w:pPr>
    </w:p>
    <w:p w14:paraId="243F5B14" w14:textId="77777777" w:rsidR="00CF60FE" w:rsidRPr="004F69D8" w:rsidRDefault="00CF60FE" w:rsidP="00CF60FE">
      <w:pPr>
        <w:pStyle w:val="a7"/>
        <w:ind w:left="750"/>
        <w:rPr>
          <w:rFonts w:ascii="黑体" w:eastAsia="黑体" w:hAnsi="黑体"/>
        </w:rPr>
      </w:pPr>
      <w:r w:rsidRPr="004F69D8">
        <w:rPr>
          <w:rFonts w:ascii="黑体" w:eastAsia="黑体" w:hAnsi="黑体" w:hint="eastAsia"/>
          <w:spacing w:val="-12"/>
        </w:rPr>
        <w:t>一、重点课题</w:t>
      </w:r>
    </w:p>
    <w:p w14:paraId="2D95C916" w14:textId="77777777" w:rsidR="00CF60FE" w:rsidRPr="004F69D8" w:rsidRDefault="00CF60FE" w:rsidP="00CF60FE">
      <w:pPr>
        <w:pStyle w:val="a7"/>
        <w:spacing w:before="21"/>
        <w:ind w:left="750"/>
        <w:rPr>
          <w:rFonts w:ascii="楷体_GB2312" w:eastAsia="楷体_GB2312" w:hint="eastAsia"/>
        </w:rPr>
      </w:pPr>
      <w:r w:rsidRPr="004F69D8">
        <w:rPr>
          <w:rFonts w:ascii="楷体_GB2312" w:eastAsia="楷体_GB2312" w:hint="eastAsia"/>
          <w:spacing w:val="-12"/>
        </w:rPr>
        <w:t>（一）构建完善高质量充分就业体系研究</w:t>
      </w:r>
    </w:p>
    <w:p w14:paraId="66501B05" w14:textId="77777777" w:rsidR="00CF60FE" w:rsidRDefault="00CF60FE" w:rsidP="00CF60FE">
      <w:pPr>
        <w:pStyle w:val="a7"/>
        <w:spacing w:before="17" w:line="247" w:lineRule="auto"/>
        <w:ind w:left="128" w:right="250" w:firstLine="621"/>
        <w:jc w:val="both"/>
      </w:pPr>
      <w:r>
        <w:rPr>
          <w:spacing w:val="-4"/>
        </w:rPr>
        <w:t>聚焦“人人有事做，家家有收入”目标，围绕构建完善高质量充分就业体系开展理论和对策研究。着眼未来一个时期我省劳动力市场变动情况，从形成更多就业机会、更优就业结构、更强就业能力、更好就业生态等维度，提出构建完善高质量充分就业</w:t>
      </w:r>
      <w:r>
        <w:rPr>
          <w:spacing w:val="-2"/>
        </w:rPr>
        <w:t>体系的思路举措</w:t>
      </w:r>
    </w:p>
    <w:p w14:paraId="2A297A57" w14:textId="77777777" w:rsidR="00CF60FE" w:rsidRDefault="00CF60FE" w:rsidP="00CF60FE">
      <w:pPr>
        <w:pStyle w:val="a7"/>
        <w:spacing w:line="601" w:lineRule="exact"/>
        <w:ind w:left="750"/>
      </w:pPr>
      <w:r>
        <w:rPr>
          <w:spacing w:val="-12"/>
        </w:rPr>
        <w:t>（二）构建完善高品质共富社保体系研究</w:t>
      </w:r>
    </w:p>
    <w:p w14:paraId="1447282F" w14:textId="77777777" w:rsidR="00CF60FE" w:rsidRDefault="00CF60FE" w:rsidP="00CF60FE">
      <w:pPr>
        <w:pStyle w:val="a7"/>
        <w:tabs>
          <w:tab w:val="left" w:pos="6466"/>
        </w:tabs>
        <w:spacing w:before="17" w:line="247" w:lineRule="auto"/>
        <w:ind w:left="128" w:right="250" w:firstLine="621"/>
      </w:pPr>
      <w:r>
        <w:rPr>
          <w:spacing w:val="-2"/>
        </w:rPr>
        <w:t>社会保障是治国安邦的大问题，事关千家万户的切身利益 直接体现省域治理现代化和共同富裕的成色</w:t>
      </w:r>
      <w:r>
        <w:tab/>
      </w:r>
      <w:r>
        <w:rPr>
          <w:spacing w:val="-2"/>
        </w:rPr>
        <w:t>基于当前社保体系</w:t>
      </w:r>
      <w:r>
        <w:rPr>
          <w:spacing w:val="-4"/>
        </w:rPr>
        <w:t>建设现状开展理论和对策研究，从体制、机制和制度层面挖掘存在的问题，分析其成因，提出构建完善高品质共富社保体系的思路举措</w:t>
      </w:r>
    </w:p>
    <w:p w14:paraId="08DD5EFB" w14:textId="77777777" w:rsidR="00CF60FE" w:rsidRDefault="00CF60FE" w:rsidP="00CF60FE">
      <w:pPr>
        <w:pStyle w:val="a7"/>
        <w:spacing w:line="601" w:lineRule="exact"/>
        <w:ind w:left="750"/>
      </w:pPr>
      <w:r>
        <w:rPr>
          <w:spacing w:val="-12"/>
        </w:rPr>
        <w:t>（三）构建完善高素质人才服务体系研究</w:t>
      </w:r>
    </w:p>
    <w:p w14:paraId="2F9176BC" w14:textId="77777777" w:rsidR="00CF60FE" w:rsidRPr="004F69D8" w:rsidRDefault="00CF60FE" w:rsidP="00CF60FE">
      <w:pPr>
        <w:pStyle w:val="a7"/>
        <w:ind w:left="750"/>
        <w:rPr>
          <w:rFonts w:hint="eastAsia"/>
        </w:rPr>
        <w:sectPr w:rsidR="00CF60FE" w:rsidRPr="004F69D8">
          <w:pgSz w:w="11910" w:h="16840"/>
          <w:pgMar w:top="1920" w:right="1180" w:bottom="1620" w:left="1460" w:header="0" w:footer="1439" w:gutter="0"/>
          <w:cols w:space="720"/>
        </w:sectPr>
      </w:pPr>
      <w:r>
        <w:rPr>
          <w:rFonts w:ascii="宋体" w:eastAsia="宋体" w:hAnsi="宋体" w:cs="宋体" w:hint="eastAsia"/>
          <w:spacing w:val="-7"/>
        </w:rPr>
        <w:t>聚焦激发活力之源，围绕构建完善高素质人才服务体系开展</w:t>
      </w:r>
    </w:p>
    <w:p w14:paraId="7A84E2EF" w14:textId="77777777" w:rsidR="00CF60FE" w:rsidRDefault="00CF60FE" w:rsidP="00CF60FE">
      <w:pPr>
        <w:pStyle w:val="a7"/>
        <w:spacing w:before="222"/>
        <w:ind w:right="250"/>
        <w:jc w:val="both"/>
      </w:pPr>
      <w:r>
        <w:rPr>
          <w:rFonts w:ascii="宋体" w:eastAsia="宋体" w:hAnsi="宋体" w:cs="宋体" w:hint="eastAsia"/>
          <w:spacing w:val="-4"/>
        </w:rPr>
        <w:lastRenderedPageBreak/>
        <w:t>理</w:t>
      </w:r>
      <w:r>
        <w:rPr>
          <w:spacing w:val="-4"/>
        </w:rPr>
        <w:t>论和对策研究。从加大引才育才力度、完善人才评价机制、加快发展人力资源服务产业等维度提出对策建议，为推动人才强省</w:t>
      </w:r>
      <w:r>
        <w:rPr>
          <w:spacing w:val="-2"/>
        </w:rPr>
        <w:t>建设主动塑造和加速释放人才红利</w:t>
      </w:r>
    </w:p>
    <w:p w14:paraId="5702E674" w14:textId="77777777" w:rsidR="00CF60FE" w:rsidRDefault="00CF60FE" w:rsidP="00CF60FE">
      <w:pPr>
        <w:pStyle w:val="a7"/>
        <w:spacing w:line="594" w:lineRule="exact"/>
        <w:ind w:left="750"/>
      </w:pPr>
      <w:r>
        <w:rPr>
          <w:spacing w:val="-12"/>
        </w:rPr>
        <w:t>（四）构建完善高质效人社治理体系研究</w:t>
      </w:r>
    </w:p>
    <w:p w14:paraId="254FE541" w14:textId="77777777" w:rsidR="00CF60FE" w:rsidRDefault="00CF60FE" w:rsidP="00CF60FE">
      <w:pPr>
        <w:pStyle w:val="a7"/>
        <w:ind w:left="128" w:right="103" w:firstLine="621"/>
      </w:pPr>
      <w:r>
        <w:rPr>
          <w:spacing w:val="-2"/>
        </w:rPr>
        <w:t>聚焦筑牢连心之桥，围绕构建完善高质效人社治理体系开展</w:t>
      </w:r>
      <w:r>
        <w:rPr>
          <w:spacing w:val="-10"/>
        </w:rPr>
        <w:t>理论和对策研究。从强化劳动关系源头治理、深化“浙江无欠薪”</w:t>
      </w:r>
      <w:r>
        <w:rPr>
          <w:spacing w:val="-2"/>
        </w:rPr>
        <w:t>行动、实现人社公共服务均等化等维度提出对策建议，持续推进</w:t>
      </w:r>
      <w:r>
        <w:rPr>
          <w:spacing w:val="-10"/>
        </w:rPr>
        <w:t>人社治理现代化改革，以保障大民生来守护大平安、促进大治理。</w:t>
      </w:r>
    </w:p>
    <w:p w14:paraId="051AC4C9" w14:textId="77777777" w:rsidR="00CF60FE" w:rsidRDefault="00CF60FE" w:rsidP="00CF60FE">
      <w:pPr>
        <w:pStyle w:val="a7"/>
        <w:spacing w:line="592" w:lineRule="exact"/>
        <w:ind w:left="750"/>
      </w:pPr>
      <w:r>
        <w:rPr>
          <w:spacing w:val="-12"/>
        </w:rPr>
        <w:t>（🖂）我省高技能领军人才培育机制研究</w:t>
      </w:r>
    </w:p>
    <w:p w14:paraId="6EFC0226" w14:textId="77777777" w:rsidR="00CF60FE" w:rsidRDefault="00CF60FE" w:rsidP="00CF60FE">
      <w:pPr>
        <w:pStyle w:val="a7"/>
        <w:ind w:left="128" w:right="250" w:firstLine="621"/>
      </w:pPr>
      <w:r>
        <w:rPr>
          <w:spacing w:val="-2"/>
        </w:rPr>
        <w:t xml:space="preserve">围绕我省重大战略、重大工程、重大项目、重点产业需求 </w:t>
      </w:r>
      <w:r>
        <w:rPr>
          <w:spacing w:val="-4"/>
        </w:rPr>
        <w:t>从建立健全高技能领军人才培养、使用、评价、激励机制为重要切入点开展理论和对策研究，为加快打造省域高质量发展所需的技术技能型、复合技能型、知识技能型和数字技能型领军人才队</w:t>
      </w:r>
      <w:r>
        <w:rPr>
          <w:spacing w:val="-2"/>
        </w:rPr>
        <w:t>伍提供决策参考</w:t>
      </w:r>
    </w:p>
    <w:p w14:paraId="54EB4F4F" w14:textId="77777777" w:rsidR="00CF60FE" w:rsidRDefault="00CF60FE" w:rsidP="00CF60FE">
      <w:pPr>
        <w:pStyle w:val="a7"/>
        <w:spacing w:line="589" w:lineRule="exact"/>
        <w:ind w:left="750"/>
      </w:pPr>
      <w:r>
        <w:rPr>
          <w:spacing w:val="-12"/>
        </w:rPr>
        <w:t>（六）我省多层次多支柱养老保险体系建设研究</w:t>
      </w:r>
    </w:p>
    <w:p w14:paraId="624E6BEE" w14:textId="77777777" w:rsidR="00CF60FE" w:rsidRDefault="00CF60FE" w:rsidP="00CF60FE">
      <w:pPr>
        <w:pStyle w:val="a7"/>
        <w:ind w:left="128" w:right="250" w:firstLine="621"/>
        <w:jc w:val="both"/>
      </w:pPr>
      <w:r>
        <w:rPr>
          <w:spacing w:val="-4"/>
        </w:rPr>
        <w:t>全面分析我省养老保险体系现状以及存在的问题，研究提出加快发展企业年金、个人养老金等实施路径和方法举措，重点研究在省域权限内运用可行的政策撬动商业保险，充分发挥商业保</w:t>
      </w:r>
      <w:r>
        <w:rPr>
          <w:spacing w:val="-2"/>
        </w:rPr>
        <w:t>险作为第三支柱作用的思路举措</w:t>
      </w:r>
    </w:p>
    <w:p w14:paraId="758F6851" w14:textId="77777777" w:rsidR="00CF60FE" w:rsidRDefault="00CF60FE" w:rsidP="00CF60FE">
      <w:pPr>
        <w:pStyle w:val="a7"/>
        <w:spacing w:line="592" w:lineRule="exact"/>
        <w:ind w:left="750"/>
      </w:pPr>
      <w:r>
        <w:rPr>
          <w:spacing w:val="-12"/>
        </w:rPr>
        <w:t>（七）新就业形态劳动者职业伤害保障研究</w:t>
      </w:r>
    </w:p>
    <w:p w14:paraId="19A1E9FB" w14:textId="77777777" w:rsidR="00CF60FE" w:rsidRDefault="00CF60FE" w:rsidP="00CF60FE">
      <w:pPr>
        <w:pStyle w:val="a7"/>
        <w:spacing w:line="601" w:lineRule="exact"/>
        <w:ind w:left="750"/>
      </w:pPr>
      <w:r>
        <w:rPr>
          <w:spacing w:val="-12"/>
        </w:rPr>
        <w:t>以外卖骑手、快递小哥、网约车司机等群体为主要研究对象，</w:t>
      </w:r>
    </w:p>
    <w:p w14:paraId="739A1414" w14:textId="77777777" w:rsidR="00CF60FE" w:rsidRDefault="00CF60FE" w:rsidP="00CF60FE">
      <w:pPr>
        <w:spacing w:line="601" w:lineRule="exact"/>
        <w:sectPr w:rsidR="00CF60FE">
          <w:pgSz w:w="11910" w:h="16840"/>
          <w:pgMar w:top="1920" w:right="1180" w:bottom="1620" w:left="1460" w:header="0" w:footer="1439" w:gutter="0"/>
          <w:cols w:space="720"/>
        </w:sectPr>
      </w:pPr>
    </w:p>
    <w:p w14:paraId="7901318F" w14:textId="77777777" w:rsidR="00CF60FE" w:rsidRDefault="00CF60FE" w:rsidP="00CF60FE">
      <w:pPr>
        <w:pStyle w:val="a7"/>
        <w:spacing w:before="222"/>
        <w:ind w:left="128" w:right="256"/>
      </w:pPr>
      <w:r>
        <w:rPr>
          <w:spacing w:val="-4"/>
        </w:rPr>
        <w:lastRenderedPageBreak/>
        <w:t>深入剖析新就业形态劳动者职业伤害保障试点中存在的问题，就</w:t>
      </w:r>
      <w:r>
        <w:rPr>
          <w:spacing w:val="-2"/>
        </w:rPr>
        <w:t xml:space="preserve">如何合理确定保障范围、保障项目和保障水平等提出应对思路 </w:t>
      </w:r>
      <w:r>
        <w:rPr>
          <w:spacing w:val="-4"/>
        </w:rPr>
        <w:t>为建立完善新就业形态劳动者职业伤害保障制度提供决策参考</w:t>
      </w:r>
    </w:p>
    <w:p w14:paraId="3DD7232D" w14:textId="77777777" w:rsidR="00CF60FE" w:rsidRDefault="00CF60FE" w:rsidP="00CF60FE">
      <w:pPr>
        <w:pStyle w:val="a7"/>
        <w:spacing w:before="9"/>
        <w:ind w:left="750"/>
      </w:pPr>
      <w:r>
        <w:rPr>
          <w:spacing w:val="-12"/>
        </w:rPr>
        <w:t>（八）数字化背景下人力资源大市场构建路径研究</w:t>
      </w:r>
    </w:p>
    <w:p w14:paraId="016D424E" w14:textId="77777777" w:rsidR="00CF60FE" w:rsidRDefault="00CF60FE" w:rsidP="00CF60FE">
      <w:pPr>
        <w:pStyle w:val="a7"/>
        <w:spacing w:before="17" w:line="247" w:lineRule="auto"/>
        <w:ind w:left="128" w:right="250" w:firstLine="621"/>
        <w:jc w:val="both"/>
      </w:pPr>
      <w:r>
        <w:rPr>
          <w:spacing w:val="-4"/>
        </w:rPr>
        <w:t>在数字化打破区域之间、城乡之间壁垒的背景下，深入剖析当前我省人力资源大市场建设存在的主要问题和关键堵点，从制度、管理、服务标准、信息系统等层面，提出推进高效规范、充</w:t>
      </w:r>
      <w:r>
        <w:rPr>
          <w:spacing w:val="-2"/>
        </w:rPr>
        <w:t>分开放的省域人力资源大市场建设的对策建议</w:t>
      </w:r>
    </w:p>
    <w:p w14:paraId="57954C5A" w14:textId="77777777" w:rsidR="00CF60FE" w:rsidRDefault="00CF60FE" w:rsidP="00CF60FE">
      <w:pPr>
        <w:pStyle w:val="a7"/>
        <w:spacing w:line="600" w:lineRule="exact"/>
        <w:ind w:left="750"/>
      </w:pPr>
      <w:r>
        <w:rPr>
          <w:spacing w:val="-12"/>
        </w:rPr>
        <w:t>（九）我省技工院校毕业生就业质量及就业趋势研究</w:t>
      </w:r>
    </w:p>
    <w:p w14:paraId="159F045F" w14:textId="77777777" w:rsidR="00CF60FE" w:rsidRDefault="00CF60FE" w:rsidP="00CF60FE">
      <w:pPr>
        <w:pStyle w:val="a7"/>
        <w:spacing w:before="19" w:line="247" w:lineRule="auto"/>
        <w:ind w:left="128" w:right="250" w:firstLine="621"/>
        <w:jc w:val="both"/>
      </w:pPr>
      <w:r>
        <w:rPr>
          <w:spacing w:val="-4"/>
        </w:rPr>
        <w:t>以技工院校毕业生为调查研究对象，要求样本数量充足、调查指标设计科学，客观反映近年来我省技工院校毕业生就业的质量状况及存在问题，对未来几年我省技工院校毕业生的就业形势</w:t>
      </w:r>
      <w:r>
        <w:rPr>
          <w:spacing w:val="-2"/>
        </w:rPr>
        <w:t>作出趋势研判分析，为制定完善相关政策提供决策参考</w:t>
      </w:r>
    </w:p>
    <w:p w14:paraId="10777021" w14:textId="77777777" w:rsidR="00CF60FE" w:rsidRDefault="00CF60FE" w:rsidP="00CF60FE">
      <w:pPr>
        <w:pStyle w:val="a7"/>
        <w:spacing w:line="600" w:lineRule="exact"/>
        <w:ind w:left="750"/>
      </w:pPr>
      <w:r>
        <w:rPr>
          <w:spacing w:val="-12"/>
        </w:rPr>
        <w:t>（十）推进人社基本公共服务均等化对策研究</w:t>
      </w:r>
    </w:p>
    <w:p w14:paraId="51155DA1" w14:textId="77777777" w:rsidR="00CF60FE" w:rsidRDefault="00CF60FE" w:rsidP="00CF60FE">
      <w:pPr>
        <w:pStyle w:val="a7"/>
        <w:spacing w:before="17" w:line="247" w:lineRule="auto"/>
        <w:ind w:left="128" w:right="250" w:firstLine="621"/>
      </w:pPr>
      <w:r>
        <w:rPr>
          <w:spacing w:val="-4"/>
        </w:rPr>
        <w:t>客观分析我省城乡、区域、群体间存在的人社基本公共服务</w:t>
      </w:r>
      <w:r>
        <w:rPr>
          <w:spacing w:val="-2"/>
        </w:rPr>
        <w:t xml:space="preserve">差距，在深入挖掘其产生根源的基础上，提出缩小城乡、区域 </w:t>
      </w:r>
      <w:r>
        <w:rPr>
          <w:spacing w:val="-4"/>
        </w:rPr>
        <w:t>群体间人社基本公共服务差距的制度机制，为实现更加普惠、均</w:t>
      </w:r>
      <w:r>
        <w:rPr>
          <w:spacing w:val="-2"/>
        </w:rPr>
        <w:t>等、可及的人社基本公共服务提供理论依据和参考</w:t>
      </w:r>
    </w:p>
    <w:p w14:paraId="3BB5D9CE" w14:textId="77777777" w:rsidR="00CF60FE" w:rsidRDefault="00CF60FE" w:rsidP="00CF60FE">
      <w:pPr>
        <w:pStyle w:val="a7"/>
        <w:spacing w:line="602" w:lineRule="exact"/>
        <w:ind w:left="750"/>
      </w:pPr>
      <w:r>
        <w:rPr>
          <w:spacing w:val="-12"/>
        </w:rPr>
        <w:t>（十一）人社事业发展指数研究</w:t>
      </w:r>
    </w:p>
    <w:p w14:paraId="4A719864" w14:textId="77777777" w:rsidR="00CF60FE" w:rsidRDefault="00CF60FE" w:rsidP="00CF60FE">
      <w:pPr>
        <w:pStyle w:val="a7"/>
        <w:spacing w:before="17"/>
        <w:ind w:left="750"/>
      </w:pPr>
      <w:r>
        <w:rPr>
          <w:spacing w:val="-7"/>
        </w:rPr>
        <w:t>从就业创业、社会保险、人才人事、劳动关系等业务领域出</w:t>
      </w:r>
    </w:p>
    <w:p w14:paraId="02F00508" w14:textId="77777777" w:rsidR="00CF60FE" w:rsidRDefault="00CF60FE" w:rsidP="00CF60FE">
      <w:pPr>
        <w:sectPr w:rsidR="00CF60FE">
          <w:pgSz w:w="11910" w:h="16840"/>
          <w:pgMar w:top="1920" w:right="1180" w:bottom="1620" w:left="1460" w:header="0" w:footer="1439" w:gutter="0"/>
          <w:cols w:space="720"/>
        </w:sectPr>
      </w:pPr>
    </w:p>
    <w:p w14:paraId="4CFDA912" w14:textId="77777777" w:rsidR="00CF60FE" w:rsidRDefault="00CF60FE" w:rsidP="00CF60FE">
      <w:pPr>
        <w:pStyle w:val="a7"/>
        <w:spacing w:before="239" w:line="247" w:lineRule="auto"/>
        <w:ind w:left="128" w:right="250"/>
        <w:jc w:val="both"/>
      </w:pPr>
      <w:r>
        <w:rPr>
          <w:spacing w:val="-4"/>
        </w:rPr>
        <w:lastRenderedPageBreak/>
        <w:t>发，研究建立科学有效的指数，用于跟踪、评价各市人社事业发展状况。评价体系体现对人社事业内涵的准确把握，具体指标依</w:t>
      </w:r>
      <w:r>
        <w:rPr>
          <w:spacing w:val="-2"/>
        </w:rPr>
        <w:t>据可获得、可测量、可比较进行选取</w:t>
      </w:r>
    </w:p>
    <w:p w14:paraId="3A4BF4FA" w14:textId="77777777" w:rsidR="00CF60FE" w:rsidRDefault="00CF60FE" w:rsidP="00CF60FE">
      <w:pPr>
        <w:pStyle w:val="a7"/>
        <w:spacing w:line="601" w:lineRule="exact"/>
        <w:ind w:left="750"/>
      </w:pPr>
      <w:r>
        <w:rPr>
          <w:spacing w:val="-12"/>
        </w:rPr>
        <w:t>（十二）高校科研院所薪酬制度改革研究</w:t>
      </w:r>
    </w:p>
    <w:p w14:paraId="0F01F8B5" w14:textId="77777777" w:rsidR="00CF60FE" w:rsidRDefault="00CF60FE" w:rsidP="00CF60FE">
      <w:pPr>
        <w:pStyle w:val="a7"/>
        <w:spacing w:before="16" w:line="247" w:lineRule="auto"/>
        <w:ind w:left="128" w:right="250" w:firstLine="621"/>
        <w:jc w:val="both"/>
      </w:pPr>
      <w:r>
        <w:rPr>
          <w:spacing w:val="-4"/>
        </w:rPr>
        <w:t>聚焦高校、科研院所薪酬制度，深入剖析当前制度存在的问题，围绕完善薪酬制度体系、优化内部分配制度、加强薪酬管理监督等提出建议意见，为推进教育强省、科技强省、人才强省建</w:t>
      </w:r>
      <w:r>
        <w:rPr>
          <w:spacing w:val="-2"/>
        </w:rPr>
        <w:t>设提供有力支撑</w:t>
      </w:r>
    </w:p>
    <w:p w14:paraId="59AF0215" w14:textId="77777777" w:rsidR="00CF60FE" w:rsidRDefault="00CF60FE" w:rsidP="00CF60FE">
      <w:pPr>
        <w:pStyle w:val="a7"/>
        <w:spacing w:before="1"/>
        <w:ind w:left="750"/>
        <w:rPr>
          <w:rFonts w:ascii="Noto Serif CJK JP" w:eastAsia="Noto Serif CJK JP"/>
        </w:rPr>
      </w:pPr>
      <w:r>
        <w:rPr>
          <w:rFonts w:ascii="Noto Serif CJK JP" w:eastAsia="Noto Serif CJK JP" w:hint="eastAsia"/>
          <w:spacing w:val="-12"/>
        </w:rPr>
        <w:t>二、一般课题</w:t>
      </w:r>
    </w:p>
    <w:p w14:paraId="29EFC0AA" w14:textId="77777777" w:rsidR="00CF60FE" w:rsidRDefault="00CF60FE" w:rsidP="00CF60FE">
      <w:pPr>
        <w:pStyle w:val="a7"/>
        <w:spacing w:before="21"/>
        <w:ind w:left="750"/>
      </w:pPr>
      <w:r>
        <w:rPr>
          <w:spacing w:val="-12"/>
        </w:rPr>
        <w:t>（一）就业创业</w:t>
      </w:r>
    </w:p>
    <w:p w14:paraId="6DBEF5D9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979"/>
        </w:tabs>
        <w:spacing w:before="16"/>
        <w:ind w:left="979" w:hanging="229"/>
        <w:rPr>
          <w:sz w:val="32"/>
        </w:rPr>
      </w:pPr>
      <w:r>
        <w:rPr>
          <w:spacing w:val="-12"/>
          <w:sz w:val="32"/>
        </w:rPr>
        <w:t>我省高质量充分就业体系研究</w:t>
      </w:r>
    </w:p>
    <w:p w14:paraId="51EA7998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新质生产力与打造高素养劳动者队伍研究</w:t>
      </w:r>
    </w:p>
    <w:p w14:paraId="2B47AE7C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979"/>
        </w:tabs>
        <w:spacing w:before="19"/>
        <w:ind w:left="979" w:hanging="229"/>
        <w:rPr>
          <w:sz w:val="32"/>
        </w:rPr>
      </w:pPr>
      <w:r>
        <w:rPr>
          <w:spacing w:val="-12"/>
          <w:sz w:val="32"/>
        </w:rPr>
        <w:t>人口结构变化对劳动力供给的影响研究</w:t>
      </w:r>
    </w:p>
    <w:p w14:paraId="77FDA4F5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零工市场服务提质增效对策研究</w:t>
      </w:r>
    </w:p>
    <w:p w14:paraId="58AE4A02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灵活就业统计监测路径研究</w:t>
      </w:r>
    </w:p>
    <w:p w14:paraId="315A0412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979"/>
        </w:tabs>
        <w:spacing w:before="19"/>
        <w:ind w:left="979" w:hanging="229"/>
        <w:rPr>
          <w:sz w:val="32"/>
        </w:rPr>
      </w:pPr>
      <w:r>
        <w:rPr>
          <w:spacing w:val="-12"/>
          <w:sz w:val="32"/>
        </w:rPr>
        <w:t>我省青年群体失业风险分析研究</w:t>
      </w:r>
    </w:p>
    <w:p w14:paraId="655AFC1B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重点群体就业帮扶机制研究</w:t>
      </w:r>
    </w:p>
    <w:p w14:paraId="6E868247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完善高校毕业生就业见习机制研究</w:t>
      </w:r>
    </w:p>
    <w:p w14:paraId="3940E244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979"/>
        </w:tabs>
        <w:spacing w:before="19"/>
        <w:ind w:left="979" w:hanging="229"/>
        <w:rPr>
          <w:sz w:val="32"/>
        </w:rPr>
      </w:pPr>
      <w:r>
        <w:rPr>
          <w:spacing w:val="-12"/>
          <w:sz w:val="32"/>
        </w:rPr>
        <w:t>探索多方合作的创业融资机制研究</w:t>
      </w:r>
    </w:p>
    <w:p w14:paraId="093529F1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1134"/>
        </w:tabs>
        <w:ind w:left="1134" w:hanging="384"/>
        <w:rPr>
          <w:sz w:val="32"/>
        </w:rPr>
      </w:pPr>
      <w:r>
        <w:rPr>
          <w:spacing w:val="-12"/>
          <w:sz w:val="32"/>
        </w:rPr>
        <w:t>省外劳动力在浙稳定就业问题研究</w:t>
      </w:r>
    </w:p>
    <w:p w14:paraId="5796B0DB" w14:textId="77777777" w:rsidR="00CF60FE" w:rsidRDefault="00CF60FE" w:rsidP="00CF60FE">
      <w:pPr>
        <w:rPr>
          <w:sz w:val="32"/>
        </w:rPr>
        <w:sectPr w:rsidR="00CF60FE">
          <w:pgSz w:w="11910" w:h="16840"/>
          <w:pgMar w:top="1920" w:right="1180" w:bottom="1620" w:left="1460" w:header="0" w:footer="1439" w:gutter="0"/>
          <w:cols w:space="720"/>
        </w:sectPr>
      </w:pPr>
    </w:p>
    <w:p w14:paraId="4B0BA523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1122"/>
        </w:tabs>
        <w:spacing w:before="238"/>
        <w:ind w:left="1122" w:hanging="372"/>
        <w:rPr>
          <w:sz w:val="32"/>
        </w:rPr>
      </w:pPr>
      <w:r>
        <w:rPr>
          <w:spacing w:val="-12"/>
          <w:sz w:val="32"/>
        </w:rPr>
        <w:lastRenderedPageBreak/>
        <w:t>我省劳务品牌建设现状及发展趋势研究</w:t>
      </w:r>
    </w:p>
    <w:p w14:paraId="18CB18EB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1134"/>
        </w:tabs>
        <w:ind w:left="1134" w:hanging="384"/>
        <w:rPr>
          <w:sz w:val="32"/>
        </w:rPr>
      </w:pPr>
      <w:r>
        <w:rPr>
          <w:spacing w:val="-12"/>
          <w:sz w:val="32"/>
        </w:rPr>
        <w:t>我省就业援藏基地建设相关问题研究</w:t>
      </w:r>
    </w:p>
    <w:p w14:paraId="4287A3BF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1134"/>
        </w:tabs>
        <w:ind w:left="1134" w:hanging="384"/>
        <w:rPr>
          <w:sz w:val="32"/>
        </w:rPr>
      </w:pPr>
      <w:r>
        <w:rPr>
          <w:spacing w:val="-12"/>
          <w:sz w:val="32"/>
        </w:rPr>
        <w:t>公共就业服务均衡性调查与研究</w:t>
      </w:r>
    </w:p>
    <w:p w14:paraId="68A1AEF3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1134"/>
        </w:tabs>
        <w:spacing w:before="19"/>
        <w:ind w:left="1134" w:hanging="384"/>
        <w:rPr>
          <w:sz w:val="32"/>
        </w:rPr>
      </w:pPr>
      <w:r>
        <w:rPr>
          <w:spacing w:val="-12"/>
          <w:sz w:val="32"/>
        </w:rPr>
        <w:t>社会组织促进就业相关问题研究</w:t>
      </w:r>
    </w:p>
    <w:p w14:paraId="1DC194F1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1134"/>
        </w:tabs>
        <w:ind w:left="1134" w:hanging="384"/>
        <w:rPr>
          <w:sz w:val="32"/>
        </w:rPr>
      </w:pPr>
      <w:r>
        <w:rPr>
          <w:spacing w:val="-12"/>
          <w:sz w:val="32"/>
        </w:rPr>
        <w:t>就业歧视相关问题研究</w:t>
      </w:r>
    </w:p>
    <w:p w14:paraId="267BB446" w14:textId="77777777" w:rsidR="00CF60FE" w:rsidRDefault="00CF60FE" w:rsidP="00CF60FE">
      <w:pPr>
        <w:pStyle w:val="a9"/>
        <w:numPr>
          <w:ilvl w:val="0"/>
          <w:numId w:val="4"/>
        </w:numPr>
        <w:tabs>
          <w:tab w:val="left" w:pos="1134"/>
        </w:tabs>
        <w:ind w:left="1134" w:hanging="384"/>
        <w:rPr>
          <w:sz w:val="32"/>
        </w:rPr>
      </w:pPr>
      <w:r>
        <w:rPr>
          <w:spacing w:val="-12"/>
          <w:sz w:val="32"/>
        </w:rPr>
        <w:t>就业创业政策的国际比较和研究</w:t>
      </w:r>
    </w:p>
    <w:p w14:paraId="72BFA948" w14:textId="77777777" w:rsidR="00CF60FE" w:rsidRDefault="00CF60FE" w:rsidP="00CF60FE">
      <w:pPr>
        <w:pStyle w:val="a7"/>
        <w:spacing w:before="19"/>
        <w:ind w:left="750"/>
      </w:pPr>
      <w:r>
        <w:rPr>
          <w:spacing w:val="-12"/>
        </w:rPr>
        <w:t>（二）社会保障</w:t>
      </w:r>
    </w:p>
    <w:p w14:paraId="3DCE36C7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企业职工基本养老保险参保扩面机制优化研究</w:t>
      </w:r>
    </w:p>
    <w:p w14:paraId="2B184171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共富背景下城乡居民基本养老保险提质路径研究</w:t>
      </w:r>
    </w:p>
    <w:p w14:paraId="5C935B06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979"/>
        </w:tabs>
        <w:spacing w:before="19"/>
        <w:ind w:left="979" w:hanging="229"/>
        <w:rPr>
          <w:sz w:val="32"/>
        </w:rPr>
      </w:pPr>
      <w:r>
        <w:rPr>
          <w:spacing w:val="-12"/>
          <w:sz w:val="32"/>
        </w:rPr>
        <w:t>我省企业年金发展现状及优化路径研究</w:t>
      </w:r>
    </w:p>
    <w:p w14:paraId="1C17E041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加快推进我省第三支柱个人养老金制度建设研究</w:t>
      </w:r>
    </w:p>
    <w:p w14:paraId="5B02E6BE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新就业形态劳动者职业伤害保障研究</w:t>
      </w:r>
    </w:p>
    <w:p w14:paraId="195AEBA8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979"/>
        </w:tabs>
        <w:spacing w:before="19"/>
        <w:ind w:left="979" w:hanging="229"/>
        <w:rPr>
          <w:sz w:val="32"/>
        </w:rPr>
      </w:pPr>
      <w:r>
        <w:rPr>
          <w:spacing w:val="-12"/>
          <w:sz w:val="32"/>
        </w:rPr>
        <w:t>工伤保险制度省级统筹实施面临的相关问题研究</w:t>
      </w:r>
    </w:p>
    <w:p w14:paraId="500F3D55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失业保险制度省级统筹实施面临的相关问题研究</w:t>
      </w:r>
    </w:p>
    <w:p w14:paraId="73B0D3A5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提升我省社会保险基金风险防控能力的对策研究</w:t>
      </w:r>
    </w:p>
    <w:p w14:paraId="61B4651D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979"/>
        </w:tabs>
        <w:spacing w:before="19"/>
        <w:ind w:left="979" w:hanging="229"/>
        <w:rPr>
          <w:sz w:val="32"/>
        </w:rPr>
      </w:pPr>
      <w:r>
        <w:rPr>
          <w:spacing w:val="-12"/>
          <w:sz w:val="32"/>
        </w:rPr>
        <w:t>商业保险对社会保险补充作用及协同发展研究</w:t>
      </w:r>
    </w:p>
    <w:p w14:paraId="6097F342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1134"/>
        </w:tabs>
        <w:ind w:left="1134" w:hanging="384"/>
        <w:rPr>
          <w:sz w:val="32"/>
        </w:rPr>
      </w:pPr>
      <w:r>
        <w:rPr>
          <w:spacing w:val="-12"/>
          <w:sz w:val="32"/>
        </w:rPr>
        <w:t>社会保险经办管理服务体系优化研究</w:t>
      </w:r>
    </w:p>
    <w:p w14:paraId="405C1021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1122"/>
        </w:tabs>
        <w:spacing w:before="16"/>
        <w:ind w:left="1122" w:hanging="372"/>
        <w:rPr>
          <w:sz w:val="32"/>
        </w:rPr>
      </w:pPr>
      <w:r>
        <w:rPr>
          <w:spacing w:val="-12"/>
          <w:sz w:val="32"/>
        </w:rPr>
        <w:t>社会保障数字治理研究</w:t>
      </w:r>
    </w:p>
    <w:p w14:paraId="26E3A412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1134"/>
        </w:tabs>
        <w:spacing w:before="20"/>
        <w:ind w:left="1134" w:hanging="384"/>
        <w:rPr>
          <w:sz w:val="32"/>
        </w:rPr>
      </w:pPr>
      <w:r>
        <w:rPr>
          <w:spacing w:val="-12"/>
          <w:sz w:val="32"/>
        </w:rPr>
        <w:t>外籍人士在华养老保险政策研究</w:t>
      </w:r>
      <w:r>
        <w:rPr>
          <w:rFonts w:ascii="Times New Roman" w:eastAsia="Times New Roman" w:hAnsi="Times New Roman"/>
          <w:spacing w:val="-12"/>
          <w:sz w:val="32"/>
        </w:rPr>
        <w:t>——</w:t>
      </w:r>
      <w:r>
        <w:rPr>
          <w:spacing w:val="-12"/>
          <w:sz w:val="32"/>
        </w:rPr>
        <w:t>以义乌市为例</w:t>
      </w:r>
    </w:p>
    <w:p w14:paraId="061A1777" w14:textId="77777777" w:rsidR="00CF60FE" w:rsidRDefault="00CF60FE" w:rsidP="00CF60FE">
      <w:pPr>
        <w:pStyle w:val="a9"/>
        <w:numPr>
          <w:ilvl w:val="0"/>
          <w:numId w:val="3"/>
        </w:numPr>
        <w:tabs>
          <w:tab w:val="left" w:pos="1134"/>
        </w:tabs>
        <w:spacing w:before="16"/>
        <w:ind w:left="1134" w:hanging="384"/>
        <w:rPr>
          <w:sz w:val="32"/>
        </w:rPr>
      </w:pPr>
      <w:r>
        <w:rPr>
          <w:spacing w:val="-12"/>
          <w:sz w:val="32"/>
        </w:rPr>
        <w:t>社会保险政策国际比较研究</w:t>
      </w:r>
    </w:p>
    <w:p w14:paraId="3202EA4D" w14:textId="77777777" w:rsidR="00CF60FE" w:rsidRDefault="00CF60FE" w:rsidP="00CF60FE">
      <w:pPr>
        <w:rPr>
          <w:sz w:val="32"/>
        </w:rPr>
        <w:sectPr w:rsidR="00CF60FE">
          <w:pgSz w:w="11910" w:h="16840"/>
          <w:pgMar w:top="1920" w:right="1180" w:bottom="1620" w:left="1460" w:header="0" w:footer="1439" w:gutter="0"/>
          <w:cols w:space="720"/>
        </w:sectPr>
      </w:pPr>
    </w:p>
    <w:p w14:paraId="34E35D0C" w14:textId="77777777" w:rsidR="00CF60FE" w:rsidRDefault="00CF60FE" w:rsidP="00CF60FE">
      <w:pPr>
        <w:pStyle w:val="a7"/>
        <w:spacing w:before="239"/>
        <w:ind w:left="750"/>
      </w:pPr>
      <w:r>
        <w:rPr>
          <w:spacing w:val="-12"/>
        </w:rPr>
        <w:lastRenderedPageBreak/>
        <w:t>（三）人事人才</w:t>
      </w:r>
    </w:p>
    <w:p w14:paraId="11755D5E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979"/>
        </w:tabs>
        <w:spacing w:before="16"/>
        <w:ind w:left="979" w:hanging="229"/>
        <w:rPr>
          <w:sz w:val="32"/>
        </w:rPr>
      </w:pPr>
      <w:r>
        <w:rPr>
          <w:spacing w:val="-12"/>
          <w:sz w:val="32"/>
        </w:rPr>
        <w:t>省域技能型社会建设路径研究</w:t>
      </w:r>
    </w:p>
    <w:p w14:paraId="5E8BA7FA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979"/>
        </w:tabs>
        <w:ind w:left="979" w:hanging="232"/>
        <w:rPr>
          <w:sz w:val="32"/>
        </w:rPr>
      </w:pPr>
      <w:r>
        <w:rPr>
          <w:spacing w:val="-12"/>
          <w:sz w:val="32"/>
        </w:rPr>
        <w:t>省域人力资源大市场高质量发展对策研究</w:t>
      </w:r>
    </w:p>
    <w:p w14:paraId="2EB810F1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979"/>
        </w:tabs>
        <w:spacing w:before="19"/>
        <w:ind w:left="979" w:hanging="229"/>
        <w:rPr>
          <w:sz w:val="32"/>
        </w:rPr>
      </w:pPr>
      <w:r>
        <w:rPr>
          <w:spacing w:val="-12"/>
          <w:sz w:val="32"/>
        </w:rPr>
        <w:t>我省“</w:t>
      </w:r>
      <w:r>
        <w:rPr>
          <w:rFonts w:ascii="Times New Roman" w:eastAsia="Times New Roman" w:hAnsi="Times New Roman"/>
          <w:spacing w:val="-12"/>
          <w:sz w:val="32"/>
        </w:rPr>
        <w:t>415X</w:t>
      </w:r>
      <w:r>
        <w:rPr>
          <w:spacing w:val="-12"/>
          <w:sz w:val="32"/>
        </w:rPr>
        <w:t>”先进制造业集群技能人才支撑研究</w:t>
      </w:r>
    </w:p>
    <w:p w14:paraId="666EAF56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979"/>
        </w:tabs>
        <w:ind w:left="979" w:hanging="229"/>
        <w:rPr>
          <w:sz w:val="32"/>
        </w:rPr>
      </w:pPr>
      <w:r>
        <w:rPr>
          <w:spacing w:val="-12"/>
          <w:sz w:val="32"/>
        </w:rPr>
        <w:t>新型工业化背景下“双高”人才培养路径研究</w:t>
      </w:r>
    </w:p>
    <w:p w14:paraId="3F496284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964"/>
        </w:tabs>
        <w:ind w:left="964" w:hanging="229"/>
        <w:rPr>
          <w:sz w:val="32"/>
        </w:rPr>
      </w:pPr>
      <w:r>
        <w:rPr>
          <w:spacing w:val="-12"/>
          <w:sz w:val="32"/>
        </w:rPr>
        <w:t>民营经济高质量发展人才保障研究</w:t>
      </w:r>
    </w:p>
    <w:p w14:paraId="7D55277C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964"/>
        </w:tabs>
        <w:spacing w:before="19"/>
        <w:ind w:left="964" w:hanging="229"/>
        <w:rPr>
          <w:sz w:val="32"/>
        </w:rPr>
      </w:pPr>
      <w:r>
        <w:rPr>
          <w:spacing w:val="-12"/>
          <w:sz w:val="32"/>
        </w:rPr>
        <w:t>我省数字经济技术人才需求与对策研究</w:t>
      </w:r>
    </w:p>
    <w:p w14:paraId="46D8AF77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964"/>
        </w:tabs>
        <w:ind w:left="964" w:hanging="229"/>
        <w:rPr>
          <w:sz w:val="32"/>
        </w:rPr>
      </w:pPr>
      <w:r>
        <w:rPr>
          <w:spacing w:val="-12"/>
          <w:sz w:val="32"/>
        </w:rPr>
        <w:t>高水平人才高地和集聚平台作用与机理研究</w:t>
      </w:r>
    </w:p>
    <w:p w14:paraId="01D045F8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964"/>
        </w:tabs>
        <w:ind w:left="964" w:hanging="229"/>
        <w:rPr>
          <w:sz w:val="32"/>
        </w:rPr>
      </w:pPr>
      <w:r>
        <w:rPr>
          <w:spacing w:val="-12"/>
          <w:sz w:val="32"/>
        </w:rPr>
        <w:t>技能人才培养“一试双证”制度存在问题与对策研究</w:t>
      </w:r>
    </w:p>
    <w:p w14:paraId="2E18F77D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964"/>
        </w:tabs>
        <w:spacing w:before="19"/>
        <w:ind w:left="964" w:hanging="229"/>
        <w:rPr>
          <w:sz w:val="32"/>
        </w:rPr>
      </w:pPr>
      <w:r>
        <w:rPr>
          <w:spacing w:val="-12"/>
          <w:sz w:val="32"/>
        </w:rPr>
        <w:t>提升一流技师学院关键办学能力路径研究</w:t>
      </w:r>
    </w:p>
    <w:p w14:paraId="0EDB3954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1119"/>
        </w:tabs>
        <w:ind w:left="1119" w:hanging="384"/>
        <w:rPr>
          <w:sz w:val="32"/>
        </w:rPr>
      </w:pPr>
      <w:r>
        <w:rPr>
          <w:spacing w:val="-12"/>
          <w:sz w:val="32"/>
        </w:rPr>
        <w:t>职业技能培训差异化补贴制度探索研究</w:t>
      </w:r>
    </w:p>
    <w:p w14:paraId="0B32F781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1107"/>
        </w:tabs>
        <w:ind w:left="1107" w:hanging="372"/>
        <w:rPr>
          <w:sz w:val="32"/>
        </w:rPr>
      </w:pPr>
      <w:r>
        <w:rPr>
          <w:spacing w:val="-12"/>
          <w:sz w:val="32"/>
        </w:rPr>
        <w:t>新型研发机构人才激励政策创新研究</w:t>
      </w:r>
    </w:p>
    <w:p w14:paraId="3D4DB4E1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1119"/>
        </w:tabs>
        <w:spacing w:before="19"/>
        <w:ind w:left="1119" w:hanging="384"/>
        <w:rPr>
          <w:sz w:val="32"/>
        </w:rPr>
      </w:pPr>
      <w:r>
        <w:rPr>
          <w:spacing w:val="-12"/>
          <w:sz w:val="32"/>
        </w:rPr>
        <w:t>我省培育人工智能领域人才实证研究</w:t>
      </w:r>
    </w:p>
    <w:p w14:paraId="6920EB3C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1119"/>
        </w:tabs>
        <w:ind w:left="1119" w:hanging="384"/>
        <w:rPr>
          <w:sz w:val="32"/>
        </w:rPr>
      </w:pPr>
      <w:r>
        <w:rPr>
          <w:spacing w:val="-12"/>
          <w:sz w:val="32"/>
        </w:rPr>
        <w:t>用人主体培育技能人才有关配套制度研究</w:t>
      </w:r>
    </w:p>
    <w:p w14:paraId="2EED5249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1119"/>
        </w:tabs>
        <w:ind w:left="1119" w:hanging="384"/>
        <w:rPr>
          <w:sz w:val="32"/>
        </w:rPr>
      </w:pPr>
      <w:r>
        <w:rPr>
          <w:spacing w:val="-12"/>
          <w:sz w:val="32"/>
        </w:rPr>
        <w:t>外国专家引进使用和服务保障机制研究</w:t>
      </w:r>
    </w:p>
    <w:p w14:paraId="617A8D2A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1119"/>
        </w:tabs>
        <w:spacing w:before="19"/>
        <w:ind w:left="1119" w:hanging="384"/>
        <w:rPr>
          <w:sz w:val="32"/>
        </w:rPr>
      </w:pPr>
      <w:r>
        <w:rPr>
          <w:spacing w:val="-12"/>
          <w:sz w:val="32"/>
        </w:rPr>
        <w:t>山区海岛县人才引育留用现状及对策研究</w:t>
      </w:r>
    </w:p>
    <w:p w14:paraId="35866B83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1119"/>
        </w:tabs>
        <w:ind w:left="1119" w:hanging="384"/>
        <w:rPr>
          <w:sz w:val="32"/>
        </w:rPr>
      </w:pPr>
      <w:r>
        <w:rPr>
          <w:spacing w:val="-12"/>
          <w:sz w:val="32"/>
        </w:rPr>
        <w:t>事业单位分类分行业工资收入情况统计分析研究</w:t>
      </w:r>
    </w:p>
    <w:p w14:paraId="00D73F9C" w14:textId="77777777" w:rsidR="00CF60FE" w:rsidRDefault="00CF60FE" w:rsidP="00CF60FE">
      <w:pPr>
        <w:pStyle w:val="a9"/>
        <w:numPr>
          <w:ilvl w:val="0"/>
          <w:numId w:val="2"/>
        </w:numPr>
        <w:tabs>
          <w:tab w:val="left" w:pos="1119"/>
        </w:tabs>
        <w:spacing w:before="16"/>
        <w:ind w:left="1119" w:hanging="384"/>
        <w:rPr>
          <w:sz w:val="32"/>
        </w:rPr>
      </w:pPr>
      <w:r>
        <w:rPr>
          <w:spacing w:val="-12"/>
          <w:sz w:val="32"/>
        </w:rPr>
        <w:t>事业单位社会化服务薪酬激励现状及问题研究</w:t>
      </w:r>
    </w:p>
    <w:p w14:paraId="5CAFEDEE" w14:textId="77777777" w:rsidR="00CF60FE" w:rsidRDefault="00CF60FE" w:rsidP="00CF60FE">
      <w:pPr>
        <w:pStyle w:val="a7"/>
        <w:spacing w:before="20"/>
        <w:ind w:left="750"/>
      </w:pPr>
      <w:r>
        <w:rPr>
          <w:spacing w:val="-12"/>
        </w:rPr>
        <w:t>（四）劳动关系</w:t>
      </w:r>
    </w:p>
    <w:p w14:paraId="6447AE62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964"/>
        </w:tabs>
        <w:spacing w:before="16"/>
        <w:ind w:left="964" w:hanging="229"/>
        <w:rPr>
          <w:sz w:val="32"/>
        </w:rPr>
      </w:pPr>
      <w:r>
        <w:rPr>
          <w:spacing w:val="-12"/>
          <w:sz w:val="32"/>
        </w:rPr>
        <w:t>数字经济下共享型和谐劳动关系构建研究</w:t>
      </w:r>
    </w:p>
    <w:p w14:paraId="2CF9D2A0" w14:textId="77777777" w:rsidR="00CF60FE" w:rsidRDefault="00CF60FE" w:rsidP="00CF60FE">
      <w:pPr>
        <w:rPr>
          <w:sz w:val="32"/>
        </w:rPr>
        <w:sectPr w:rsidR="00CF60FE">
          <w:pgSz w:w="11910" w:h="16840"/>
          <w:pgMar w:top="1920" w:right="1180" w:bottom="1620" w:left="1460" w:header="0" w:footer="1439" w:gutter="0"/>
          <w:cols w:space="720"/>
        </w:sectPr>
      </w:pPr>
    </w:p>
    <w:p w14:paraId="0712029E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964"/>
        </w:tabs>
        <w:spacing w:before="238"/>
        <w:ind w:left="964" w:hanging="229"/>
        <w:rPr>
          <w:sz w:val="32"/>
        </w:rPr>
      </w:pPr>
      <w:r>
        <w:rPr>
          <w:spacing w:val="-12"/>
          <w:sz w:val="32"/>
        </w:rPr>
        <w:lastRenderedPageBreak/>
        <w:t>有利于促进居民收入稳定增长的体制机制研究</w:t>
      </w:r>
    </w:p>
    <w:p w14:paraId="58FB2D9B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964"/>
        </w:tabs>
        <w:ind w:left="964" w:hanging="229"/>
        <w:rPr>
          <w:sz w:val="32"/>
        </w:rPr>
      </w:pPr>
      <w:r>
        <w:rPr>
          <w:spacing w:val="-12"/>
          <w:sz w:val="32"/>
        </w:rPr>
        <w:t>劳动关系风险预警系统机制研究</w:t>
      </w:r>
    </w:p>
    <w:p w14:paraId="371174B7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964"/>
        </w:tabs>
        <w:ind w:left="964" w:hanging="229"/>
        <w:rPr>
          <w:sz w:val="32"/>
        </w:rPr>
      </w:pPr>
      <w:r>
        <w:rPr>
          <w:spacing w:val="-12"/>
          <w:sz w:val="32"/>
        </w:rPr>
        <w:t>企业共享用工问题研究</w:t>
      </w:r>
    </w:p>
    <w:p w14:paraId="33B76F6A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964"/>
        </w:tabs>
        <w:spacing w:before="19"/>
        <w:ind w:left="964" w:hanging="229"/>
        <w:rPr>
          <w:sz w:val="32"/>
        </w:rPr>
      </w:pPr>
      <w:r>
        <w:rPr>
          <w:spacing w:val="-12"/>
          <w:sz w:val="32"/>
        </w:rPr>
        <w:t>新就业形态劳动者的劳动权益保障研究</w:t>
      </w:r>
    </w:p>
    <w:p w14:paraId="1F3A14AB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964"/>
        </w:tabs>
        <w:ind w:left="964" w:hanging="229"/>
        <w:rPr>
          <w:sz w:val="32"/>
        </w:rPr>
      </w:pPr>
      <w:r>
        <w:rPr>
          <w:spacing w:val="-12"/>
          <w:sz w:val="32"/>
        </w:rPr>
        <w:t>共富背景下我省工资指导线相关问题研究</w:t>
      </w:r>
    </w:p>
    <w:p w14:paraId="1237B1D3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964"/>
        </w:tabs>
        <w:ind w:left="964" w:hanging="229"/>
        <w:rPr>
          <w:sz w:val="32"/>
        </w:rPr>
      </w:pPr>
      <w:r>
        <w:rPr>
          <w:spacing w:val="-12"/>
          <w:sz w:val="32"/>
        </w:rPr>
        <w:t>最低工资标准调整评估机制研究</w:t>
      </w:r>
    </w:p>
    <w:p w14:paraId="7DADACFD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964"/>
        </w:tabs>
        <w:spacing w:before="19"/>
        <w:ind w:left="964" w:hanging="229"/>
        <w:rPr>
          <w:sz w:val="32"/>
        </w:rPr>
      </w:pPr>
      <w:r>
        <w:rPr>
          <w:spacing w:val="-12"/>
          <w:sz w:val="32"/>
        </w:rPr>
        <w:t>农民工工资支付兜底保障机制研究</w:t>
      </w:r>
    </w:p>
    <w:p w14:paraId="0AD24EBD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964"/>
        </w:tabs>
        <w:ind w:left="964" w:hanging="229"/>
        <w:rPr>
          <w:sz w:val="32"/>
        </w:rPr>
      </w:pPr>
      <w:r>
        <w:rPr>
          <w:spacing w:val="-12"/>
          <w:sz w:val="32"/>
        </w:rPr>
        <w:t>完善根治欠薪治理体系研究</w:t>
      </w:r>
    </w:p>
    <w:p w14:paraId="412360A2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1119"/>
        </w:tabs>
        <w:ind w:left="1119" w:hanging="384"/>
        <w:rPr>
          <w:sz w:val="32"/>
        </w:rPr>
      </w:pPr>
      <w:r>
        <w:rPr>
          <w:spacing w:val="-12"/>
          <w:sz w:val="32"/>
        </w:rPr>
        <w:t>集体协商框架下企业职工工资共同决定机制研究</w:t>
      </w:r>
    </w:p>
    <w:p w14:paraId="053EF4A2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1107"/>
        </w:tabs>
        <w:spacing w:before="19"/>
        <w:ind w:left="1107" w:hanging="372"/>
        <w:rPr>
          <w:sz w:val="32"/>
        </w:rPr>
      </w:pPr>
      <w:r>
        <w:rPr>
          <w:spacing w:val="-12"/>
          <w:sz w:val="32"/>
        </w:rPr>
        <w:t>我省企业工资分配的市场化程度问题及对策研究</w:t>
      </w:r>
    </w:p>
    <w:p w14:paraId="5B3B8CCB" w14:textId="77777777" w:rsidR="00CF60FE" w:rsidRDefault="00CF60FE" w:rsidP="00CF60FE">
      <w:pPr>
        <w:pStyle w:val="a9"/>
        <w:numPr>
          <w:ilvl w:val="0"/>
          <w:numId w:val="1"/>
        </w:numPr>
        <w:tabs>
          <w:tab w:val="left" w:pos="1119"/>
        </w:tabs>
        <w:ind w:left="1119" w:hanging="384"/>
        <w:rPr>
          <w:sz w:val="32"/>
        </w:rPr>
      </w:pPr>
      <w:r>
        <w:rPr>
          <w:spacing w:val="-12"/>
          <w:sz w:val="32"/>
        </w:rPr>
        <w:t>劳动关系领域相关政策国际比较研究</w:t>
      </w:r>
    </w:p>
    <w:p w14:paraId="014A6A82" w14:textId="77777777" w:rsidR="00CC61EA" w:rsidRPr="00CF60FE" w:rsidRDefault="00CC61EA"/>
    <w:sectPr w:rsidR="00CC61EA" w:rsidRPr="00CF6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A57A3" w14:textId="77777777" w:rsidR="00CF60FE" w:rsidRDefault="00CF60FE" w:rsidP="00CF60FE">
      <w:r>
        <w:separator/>
      </w:r>
    </w:p>
  </w:endnote>
  <w:endnote w:type="continuationSeparator" w:id="0">
    <w:p w14:paraId="4B1DA04A" w14:textId="77777777" w:rsidR="00CF60FE" w:rsidRDefault="00CF60FE" w:rsidP="00CF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HK">
    <w:altName w:val="Calibri"/>
    <w:charset w:val="00"/>
    <w:family w:val="swiss"/>
    <w:pitch w:val="variable"/>
  </w:font>
  <w:font w:name="WenQuanYi Micro Hei">
    <w:altName w:val="Calibri"/>
    <w:charset w:val="00"/>
    <w:family w:val="swiss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erif CJK JP">
    <w:altName w:val="Cambria"/>
    <w:charset w:val="00"/>
    <w:family w:val="roman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FA3B" w14:textId="77777777" w:rsidR="00CF60FE" w:rsidRDefault="00CF60FE" w:rsidP="00CF60FE">
      <w:r>
        <w:separator/>
      </w:r>
    </w:p>
  </w:footnote>
  <w:footnote w:type="continuationSeparator" w:id="0">
    <w:p w14:paraId="72BB7630" w14:textId="77777777" w:rsidR="00CF60FE" w:rsidRDefault="00CF60FE" w:rsidP="00CF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1266"/>
    <w:multiLevelType w:val="hybridMultilevel"/>
    <w:tmpl w:val="E9F29C1A"/>
    <w:lvl w:ilvl="0" w:tplc="F76CB02E">
      <w:start w:val="1"/>
      <w:numFmt w:val="decimal"/>
      <w:lvlText w:val="%1."/>
      <w:lvlJc w:val="left"/>
      <w:pPr>
        <w:ind w:left="984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30"/>
        <w:szCs w:val="30"/>
        <w:lang w:val="en-US" w:eastAsia="zh-CN" w:bidi="ar-SA"/>
      </w:rPr>
    </w:lvl>
    <w:lvl w:ilvl="1" w:tplc="68FE4F14">
      <w:numFmt w:val="bullet"/>
      <w:lvlText w:val="•"/>
      <w:lvlJc w:val="left"/>
      <w:pPr>
        <w:ind w:left="1808" w:hanging="235"/>
      </w:pPr>
      <w:rPr>
        <w:rFonts w:hint="default"/>
        <w:lang w:val="en-US" w:eastAsia="zh-CN" w:bidi="ar-SA"/>
      </w:rPr>
    </w:lvl>
    <w:lvl w:ilvl="2" w:tplc="247E60F8">
      <w:numFmt w:val="bullet"/>
      <w:lvlText w:val="•"/>
      <w:lvlJc w:val="left"/>
      <w:pPr>
        <w:ind w:left="2637" w:hanging="235"/>
      </w:pPr>
      <w:rPr>
        <w:rFonts w:hint="default"/>
        <w:lang w:val="en-US" w:eastAsia="zh-CN" w:bidi="ar-SA"/>
      </w:rPr>
    </w:lvl>
    <w:lvl w:ilvl="3" w:tplc="5F8860FC">
      <w:numFmt w:val="bullet"/>
      <w:lvlText w:val="•"/>
      <w:lvlJc w:val="left"/>
      <w:pPr>
        <w:ind w:left="3465" w:hanging="235"/>
      </w:pPr>
      <w:rPr>
        <w:rFonts w:hint="default"/>
        <w:lang w:val="en-US" w:eastAsia="zh-CN" w:bidi="ar-SA"/>
      </w:rPr>
    </w:lvl>
    <w:lvl w:ilvl="4" w:tplc="2AFC4B54">
      <w:numFmt w:val="bullet"/>
      <w:lvlText w:val="•"/>
      <w:lvlJc w:val="left"/>
      <w:pPr>
        <w:ind w:left="4294" w:hanging="235"/>
      </w:pPr>
      <w:rPr>
        <w:rFonts w:hint="default"/>
        <w:lang w:val="en-US" w:eastAsia="zh-CN" w:bidi="ar-SA"/>
      </w:rPr>
    </w:lvl>
    <w:lvl w:ilvl="5" w:tplc="3F3C50BE">
      <w:numFmt w:val="bullet"/>
      <w:lvlText w:val="•"/>
      <w:lvlJc w:val="left"/>
      <w:pPr>
        <w:ind w:left="5122" w:hanging="235"/>
      </w:pPr>
      <w:rPr>
        <w:rFonts w:hint="default"/>
        <w:lang w:val="en-US" w:eastAsia="zh-CN" w:bidi="ar-SA"/>
      </w:rPr>
    </w:lvl>
    <w:lvl w:ilvl="6" w:tplc="1828105C">
      <w:numFmt w:val="bullet"/>
      <w:lvlText w:val="•"/>
      <w:lvlJc w:val="left"/>
      <w:pPr>
        <w:ind w:left="5951" w:hanging="235"/>
      </w:pPr>
      <w:rPr>
        <w:rFonts w:hint="default"/>
        <w:lang w:val="en-US" w:eastAsia="zh-CN" w:bidi="ar-SA"/>
      </w:rPr>
    </w:lvl>
    <w:lvl w:ilvl="7" w:tplc="FED016B4">
      <w:numFmt w:val="bullet"/>
      <w:lvlText w:val="•"/>
      <w:lvlJc w:val="left"/>
      <w:pPr>
        <w:ind w:left="6779" w:hanging="235"/>
      </w:pPr>
      <w:rPr>
        <w:rFonts w:hint="default"/>
        <w:lang w:val="en-US" w:eastAsia="zh-CN" w:bidi="ar-SA"/>
      </w:rPr>
    </w:lvl>
    <w:lvl w:ilvl="8" w:tplc="60889F4E">
      <w:numFmt w:val="bullet"/>
      <w:lvlText w:val="•"/>
      <w:lvlJc w:val="left"/>
      <w:pPr>
        <w:ind w:left="7608" w:hanging="235"/>
      </w:pPr>
      <w:rPr>
        <w:rFonts w:hint="default"/>
        <w:lang w:val="en-US" w:eastAsia="zh-CN" w:bidi="ar-SA"/>
      </w:rPr>
    </w:lvl>
  </w:abstractNum>
  <w:abstractNum w:abstractNumId="1" w15:restartNumberingAfterBreak="0">
    <w:nsid w:val="54021E8D"/>
    <w:multiLevelType w:val="hybridMultilevel"/>
    <w:tmpl w:val="768AF242"/>
    <w:lvl w:ilvl="0" w:tplc="81C4E2DA">
      <w:start w:val="1"/>
      <w:numFmt w:val="decimal"/>
      <w:lvlText w:val="%1."/>
      <w:lvlJc w:val="left"/>
      <w:pPr>
        <w:ind w:left="970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30"/>
        <w:szCs w:val="30"/>
        <w:lang w:val="en-US" w:eastAsia="zh-CN" w:bidi="ar-SA"/>
      </w:rPr>
    </w:lvl>
    <w:lvl w:ilvl="1" w:tplc="82FA29D4">
      <w:numFmt w:val="bullet"/>
      <w:lvlText w:val="•"/>
      <w:lvlJc w:val="left"/>
      <w:pPr>
        <w:ind w:left="1808" w:hanging="235"/>
      </w:pPr>
      <w:rPr>
        <w:rFonts w:hint="default"/>
        <w:lang w:val="en-US" w:eastAsia="zh-CN" w:bidi="ar-SA"/>
      </w:rPr>
    </w:lvl>
    <w:lvl w:ilvl="2" w:tplc="FCB40BBA">
      <w:numFmt w:val="bullet"/>
      <w:lvlText w:val="•"/>
      <w:lvlJc w:val="left"/>
      <w:pPr>
        <w:ind w:left="2637" w:hanging="235"/>
      </w:pPr>
      <w:rPr>
        <w:rFonts w:hint="default"/>
        <w:lang w:val="en-US" w:eastAsia="zh-CN" w:bidi="ar-SA"/>
      </w:rPr>
    </w:lvl>
    <w:lvl w:ilvl="3" w:tplc="3C4232D8">
      <w:numFmt w:val="bullet"/>
      <w:lvlText w:val="•"/>
      <w:lvlJc w:val="left"/>
      <w:pPr>
        <w:ind w:left="3465" w:hanging="235"/>
      </w:pPr>
      <w:rPr>
        <w:rFonts w:hint="default"/>
        <w:lang w:val="en-US" w:eastAsia="zh-CN" w:bidi="ar-SA"/>
      </w:rPr>
    </w:lvl>
    <w:lvl w:ilvl="4" w:tplc="0CA453D4">
      <w:numFmt w:val="bullet"/>
      <w:lvlText w:val="•"/>
      <w:lvlJc w:val="left"/>
      <w:pPr>
        <w:ind w:left="4294" w:hanging="235"/>
      </w:pPr>
      <w:rPr>
        <w:rFonts w:hint="default"/>
        <w:lang w:val="en-US" w:eastAsia="zh-CN" w:bidi="ar-SA"/>
      </w:rPr>
    </w:lvl>
    <w:lvl w:ilvl="5" w:tplc="7E70215C">
      <w:numFmt w:val="bullet"/>
      <w:lvlText w:val="•"/>
      <w:lvlJc w:val="left"/>
      <w:pPr>
        <w:ind w:left="5122" w:hanging="235"/>
      </w:pPr>
      <w:rPr>
        <w:rFonts w:hint="default"/>
        <w:lang w:val="en-US" w:eastAsia="zh-CN" w:bidi="ar-SA"/>
      </w:rPr>
    </w:lvl>
    <w:lvl w:ilvl="6" w:tplc="31BEC6B2">
      <w:numFmt w:val="bullet"/>
      <w:lvlText w:val="•"/>
      <w:lvlJc w:val="left"/>
      <w:pPr>
        <w:ind w:left="5951" w:hanging="235"/>
      </w:pPr>
      <w:rPr>
        <w:rFonts w:hint="default"/>
        <w:lang w:val="en-US" w:eastAsia="zh-CN" w:bidi="ar-SA"/>
      </w:rPr>
    </w:lvl>
    <w:lvl w:ilvl="7" w:tplc="406613A4">
      <w:numFmt w:val="bullet"/>
      <w:lvlText w:val="•"/>
      <w:lvlJc w:val="left"/>
      <w:pPr>
        <w:ind w:left="6779" w:hanging="235"/>
      </w:pPr>
      <w:rPr>
        <w:rFonts w:hint="default"/>
        <w:lang w:val="en-US" w:eastAsia="zh-CN" w:bidi="ar-SA"/>
      </w:rPr>
    </w:lvl>
    <w:lvl w:ilvl="8" w:tplc="E78A5C6A">
      <w:numFmt w:val="bullet"/>
      <w:lvlText w:val="•"/>
      <w:lvlJc w:val="left"/>
      <w:pPr>
        <w:ind w:left="7608" w:hanging="235"/>
      </w:pPr>
      <w:rPr>
        <w:rFonts w:hint="default"/>
        <w:lang w:val="en-US" w:eastAsia="zh-CN" w:bidi="ar-SA"/>
      </w:rPr>
    </w:lvl>
  </w:abstractNum>
  <w:abstractNum w:abstractNumId="2" w15:restartNumberingAfterBreak="0">
    <w:nsid w:val="6893261C"/>
    <w:multiLevelType w:val="hybridMultilevel"/>
    <w:tmpl w:val="51802FDC"/>
    <w:lvl w:ilvl="0" w:tplc="96FE0AFC">
      <w:start w:val="1"/>
      <w:numFmt w:val="decimal"/>
      <w:lvlText w:val="%1."/>
      <w:lvlJc w:val="left"/>
      <w:pPr>
        <w:ind w:left="984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30"/>
        <w:szCs w:val="30"/>
        <w:lang w:val="en-US" w:eastAsia="zh-CN" w:bidi="ar-SA"/>
      </w:rPr>
    </w:lvl>
    <w:lvl w:ilvl="1" w:tplc="CF32367A">
      <w:numFmt w:val="bullet"/>
      <w:lvlText w:val="•"/>
      <w:lvlJc w:val="left"/>
      <w:pPr>
        <w:ind w:left="1808" w:hanging="235"/>
      </w:pPr>
      <w:rPr>
        <w:rFonts w:hint="default"/>
        <w:lang w:val="en-US" w:eastAsia="zh-CN" w:bidi="ar-SA"/>
      </w:rPr>
    </w:lvl>
    <w:lvl w:ilvl="2" w:tplc="665C5704">
      <w:numFmt w:val="bullet"/>
      <w:lvlText w:val="•"/>
      <w:lvlJc w:val="left"/>
      <w:pPr>
        <w:ind w:left="2637" w:hanging="235"/>
      </w:pPr>
      <w:rPr>
        <w:rFonts w:hint="default"/>
        <w:lang w:val="en-US" w:eastAsia="zh-CN" w:bidi="ar-SA"/>
      </w:rPr>
    </w:lvl>
    <w:lvl w:ilvl="3" w:tplc="C200EFFA">
      <w:numFmt w:val="bullet"/>
      <w:lvlText w:val="•"/>
      <w:lvlJc w:val="left"/>
      <w:pPr>
        <w:ind w:left="3465" w:hanging="235"/>
      </w:pPr>
      <w:rPr>
        <w:rFonts w:hint="default"/>
        <w:lang w:val="en-US" w:eastAsia="zh-CN" w:bidi="ar-SA"/>
      </w:rPr>
    </w:lvl>
    <w:lvl w:ilvl="4" w:tplc="0EA2E2B6">
      <w:numFmt w:val="bullet"/>
      <w:lvlText w:val="•"/>
      <w:lvlJc w:val="left"/>
      <w:pPr>
        <w:ind w:left="4294" w:hanging="235"/>
      </w:pPr>
      <w:rPr>
        <w:rFonts w:hint="default"/>
        <w:lang w:val="en-US" w:eastAsia="zh-CN" w:bidi="ar-SA"/>
      </w:rPr>
    </w:lvl>
    <w:lvl w:ilvl="5" w:tplc="0E16A9C0">
      <w:numFmt w:val="bullet"/>
      <w:lvlText w:val="•"/>
      <w:lvlJc w:val="left"/>
      <w:pPr>
        <w:ind w:left="5122" w:hanging="235"/>
      </w:pPr>
      <w:rPr>
        <w:rFonts w:hint="default"/>
        <w:lang w:val="en-US" w:eastAsia="zh-CN" w:bidi="ar-SA"/>
      </w:rPr>
    </w:lvl>
    <w:lvl w:ilvl="6" w:tplc="A5842DDE">
      <w:numFmt w:val="bullet"/>
      <w:lvlText w:val="•"/>
      <w:lvlJc w:val="left"/>
      <w:pPr>
        <w:ind w:left="5951" w:hanging="235"/>
      </w:pPr>
      <w:rPr>
        <w:rFonts w:hint="default"/>
        <w:lang w:val="en-US" w:eastAsia="zh-CN" w:bidi="ar-SA"/>
      </w:rPr>
    </w:lvl>
    <w:lvl w:ilvl="7" w:tplc="FE165A78">
      <w:numFmt w:val="bullet"/>
      <w:lvlText w:val="•"/>
      <w:lvlJc w:val="left"/>
      <w:pPr>
        <w:ind w:left="6779" w:hanging="235"/>
      </w:pPr>
      <w:rPr>
        <w:rFonts w:hint="default"/>
        <w:lang w:val="en-US" w:eastAsia="zh-CN" w:bidi="ar-SA"/>
      </w:rPr>
    </w:lvl>
    <w:lvl w:ilvl="8" w:tplc="32705652">
      <w:numFmt w:val="bullet"/>
      <w:lvlText w:val="•"/>
      <w:lvlJc w:val="left"/>
      <w:pPr>
        <w:ind w:left="7608" w:hanging="235"/>
      </w:pPr>
      <w:rPr>
        <w:rFonts w:hint="default"/>
        <w:lang w:val="en-US" w:eastAsia="zh-CN" w:bidi="ar-SA"/>
      </w:rPr>
    </w:lvl>
  </w:abstractNum>
  <w:abstractNum w:abstractNumId="3" w15:restartNumberingAfterBreak="0">
    <w:nsid w:val="7CEE02EB"/>
    <w:multiLevelType w:val="hybridMultilevel"/>
    <w:tmpl w:val="5DE20718"/>
    <w:lvl w:ilvl="0" w:tplc="5DA6024A">
      <w:start w:val="1"/>
      <w:numFmt w:val="decimal"/>
      <w:lvlText w:val="%1."/>
      <w:lvlJc w:val="left"/>
      <w:pPr>
        <w:ind w:left="984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7"/>
        <w:sz w:val="30"/>
        <w:szCs w:val="30"/>
        <w:lang w:val="en-US" w:eastAsia="zh-CN" w:bidi="ar-SA"/>
      </w:rPr>
    </w:lvl>
    <w:lvl w:ilvl="1" w:tplc="2AB010DA">
      <w:numFmt w:val="bullet"/>
      <w:lvlText w:val="•"/>
      <w:lvlJc w:val="left"/>
      <w:pPr>
        <w:ind w:left="1808" w:hanging="235"/>
      </w:pPr>
      <w:rPr>
        <w:rFonts w:hint="default"/>
        <w:lang w:val="en-US" w:eastAsia="zh-CN" w:bidi="ar-SA"/>
      </w:rPr>
    </w:lvl>
    <w:lvl w:ilvl="2" w:tplc="E4040980">
      <w:numFmt w:val="bullet"/>
      <w:lvlText w:val="•"/>
      <w:lvlJc w:val="left"/>
      <w:pPr>
        <w:ind w:left="2637" w:hanging="235"/>
      </w:pPr>
      <w:rPr>
        <w:rFonts w:hint="default"/>
        <w:lang w:val="en-US" w:eastAsia="zh-CN" w:bidi="ar-SA"/>
      </w:rPr>
    </w:lvl>
    <w:lvl w:ilvl="3" w:tplc="C4187B06">
      <w:numFmt w:val="bullet"/>
      <w:lvlText w:val="•"/>
      <w:lvlJc w:val="left"/>
      <w:pPr>
        <w:ind w:left="3465" w:hanging="235"/>
      </w:pPr>
      <w:rPr>
        <w:rFonts w:hint="default"/>
        <w:lang w:val="en-US" w:eastAsia="zh-CN" w:bidi="ar-SA"/>
      </w:rPr>
    </w:lvl>
    <w:lvl w:ilvl="4" w:tplc="0952E5BE">
      <w:numFmt w:val="bullet"/>
      <w:lvlText w:val="•"/>
      <w:lvlJc w:val="left"/>
      <w:pPr>
        <w:ind w:left="4294" w:hanging="235"/>
      </w:pPr>
      <w:rPr>
        <w:rFonts w:hint="default"/>
        <w:lang w:val="en-US" w:eastAsia="zh-CN" w:bidi="ar-SA"/>
      </w:rPr>
    </w:lvl>
    <w:lvl w:ilvl="5" w:tplc="3FA29BB6">
      <w:numFmt w:val="bullet"/>
      <w:lvlText w:val="•"/>
      <w:lvlJc w:val="left"/>
      <w:pPr>
        <w:ind w:left="5122" w:hanging="235"/>
      </w:pPr>
      <w:rPr>
        <w:rFonts w:hint="default"/>
        <w:lang w:val="en-US" w:eastAsia="zh-CN" w:bidi="ar-SA"/>
      </w:rPr>
    </w:lvl>
    <w:lvl w:ilvl="6" w:tplc="2946ED96">
      <w:numFmt w:val="bullet"/>
      <w:lvlText w:val="•"/>
      <w:lvlJc w:val="left"/>
      <w:pPr>
        <w:ind w:left="5951" w:hanging="235"/>
      </w:pPr>
      <w:rPr>
        <w:rFonts w:hint="default"/>
        <w:lang w:val="en-US" w:eastAsia="zh-CN" w:bidi="ar-SA"/>
      </w:rPr>
    </w:lvl>
    <w:lvl w:ilvl="7" w:tplc="54F83602">
      <w:numFmt w:val="bullet"/>
      <w:lvlText w:val="•"/>
      <w:lvlJc w:val="left"/>
      <w:pPr>
        <w:ind w:left="6779" w:hanging="235"/>
      </w:pPr>
      <w:rPr>
        <w:rFonts w:hint="default"/>
        <w:lang w:val="en-US" w:eastAsia="zh-CN" w:bidi="ar-SA"/>
      </w:rPr>
    </w:lvl>
    <w:lvl w:ilvl="8" w:tplc="78666566">
      <w:numFmt w:val="bullet"/>
      <w:lvlText w:val="•"/>
      <w:lvlJc w:val="left"/>
      <w:pPr>
        <w:ind w:left="7608" w:hanging="235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A6"/>
    <w:rsid w:val="00CC61EA"/>
    <w:rsid w:val="00CF60FE"/>
    <w:rsid w:val="00E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30BB0"/>
  <w15:chartTrackingRefBased/>
  <w15:docId w15:val="{E540094A-57F0-4C58-916F-21E03C41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FE"/>
    <w:pPr>
      <w:widowControl w:val="0"/>
      <w:autoSpaceDE w:val="0"/>
      <w:autoSpaceDN w:val="0"/>
    </w:pPr>
    <w:rPr>
      <w:rFonts w:ascii="Noto Sans CJK HK" w:eastAsia="Noto Sans CJK HK" w:hAnsi="Noto Sans CJK HK" w:cs="Noto Sans CJK HK"/>
      <w:kern w:val="0"/>
      <w:sz w:val="22"/>
    </w:rPr>
  </w:style>
  <w:style w:type="paragraph" w:styleId="1">
    <w:name w:val="heading 1"/>
    <w:basedOn w:val="a"/>
    <w:link w:val="10"/>
    <w:uiPriority w:val="9"/>
    <w:qFormat/>
    <w:rsid w:val="00CF60FE"/>
    <w:pPr>
      <w:ind w:left="15" w:right="1192"/>
      <w:outlineLvl w:val="0"/>
    </w:pPr>
    <w:rPr>
      <w:rFonts w:ascii="WenQuanYi Micro Hei" w:eastAsia="WenQuanYi Micro Hei" w:hAnsi="WenQuanYi Micro Hei" w:cs="WenQuanYi Micro He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0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0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0F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F60FE"/>
    <w:rPr>
      <w:rFonts w:ascii="WenQuanYi Micro Hei" w:eastAsia="WenQuanYi Micro Hei" w:hAnsi="WenQuanYi Micro Hei" w:cs="WenQuanYi Micro Hei"/>
      <w:kern w:val="0"/>
      <w:sz w:val="44"/>
      <w:szCs w:val="44"/>
    </w:rPr>
  </w:style>
  <w:style w:type="paragraph" w:styleId="a7">
    <w:name w:val="Body Text"/>
    <w:basedOn w:val="a"/>
    <w:link w:val="a8"/>
    <w:uiPriority w:val="1"/>
    <w:qFormat/>
    <w:rsid w:val="00CF60FE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CF60FE"/>
    <w:rPr>
      <w:rFonts w:ascii="Noto Sans CJK HK" w:eastAsia="Noto Sans CJK HK" w:hAnsi="Noto Sans CJK HK" w:cs="Noto Sans CJK HK"/>
      <w:kern w:val="0"/>
      <w:sz w:val="32"/>
      <w:szCs w:val="32"/>
    </w:rPr>
  </w:style>
  <w:style w:type="paragraph" w:styleId="a9">
    <w:name w:val="List Paragraph"/>
    <w:basedOn w:val="a"/>
    <w:uiPriority w:val="1"/>
    <w:qFormat/>
    <w:rsid w:val="00CF60FE"/>
    <w:pPr>
      <w:spacing w:before="17"/>
      <w:ind w:left="979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1296</Words>
  <Characters>1336</Characters>
  <Application>Microsoft Office Word</Application>
  <DocSecurity>0</DocSecurity>
  <Lines>148</Lines>
  <Paragraphs>119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沈萱</dc:creator>
  <cp:keywords/>
  <dc:description/>
  <cp:lastModifiedBy>沈萱</cp:lastModifiedBy>
  <cp:revision>2</cp:revision>
  <dcterms:created xsi:type="dcterms:W3CDTF">2024-04-12T07:28:00Z</dcterms:created>
  <dcterms:modified xsi:type="dcterms:W3CDTF">2024-04-12T07:28:00Z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ce2bd93d1f511b152dbaa8575a39b5efb1ab5a28a4afa205561ba0a36f555c8b</vt:lpwstr>
  </property>
</Properties>
</file>