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695"/>
        <w:gridCol w:w="696"/>
        <w:gridCol w:w="751"/>
        <w:gridCol w:w="790"/>
        <w:gridCol w:w="709"/>
        <w:gridCol w:w="706"/>
        <w:gridCol w:w="2626"/>
        <w:gridCol w:w="710"/>
        <w:gridCol w:w="879"/>
        <w:gridCol w:w="1350"/>
        <w:gridCol w:w="3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4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  <w:t>2023年温州肯恩大学公开招聘计划表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单位名称       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经费形式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5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 格 条 件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年龄                </w:t>
            </w:r>
          </w:p>
        </w:tc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温州肯恩大学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财政适当补助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高等教育研究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教育或管理类相关专业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日（含）以后出生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1.具备优秀的中英文书写和沟通能力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2.具备在团队环境下协同、高效工作的能力。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4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温州肯恩大学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财政适当补助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情课教学与管理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专技技术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（1）哲学、历史学、政治学等相关专业，侧重于原理中国化，近现代、当代中外道路、发展理论、制度理论研究、比较研究；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（2）法律学、社会学、马克思主义理论专业，侧重于法学理论和实践、道德伦理研究、道德修养等；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（3）语言文学、比较文学与跨文化研究等相关专业，侧重于中外文化特别是近现代、当代文化研究、比较研究；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日（含）以后出生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具备流利的英文书面及口头表达能力，较强教学及科研能力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第一学历为全日制普通本科（双证，不含专升本），硕士阶段为全日制学术型硕士研究生，博士阶段为全日制双证博士。详见附件《岗位说明书》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</w:tr>
    </w:tbl>
    <w:p/>
    <w:sectPr>
      <w:pgSz w:w="16838" w:h="11906" w:orient="landscape"/>
      <w:pgMar w:top="1179" w:right="1440" w:bottom="119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YTBjYzY0OGU3MjA0NDY1YWQwNTk2NDk0YTlhZDIifQ=="/>
  </w:docVars>
  <w:rsids>
    <w:rsidRoot w:val="4C1A19DA"/>
    <w:rsid w:val="4C1A19DA"/>
    <w:rsid w:val="7B0D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2023-12-06T00:32:00Z</dcterms:created>
  <dc:creator>Emerald</dc:creator>
  <cp:lastModifiedBy>Emerald</cp:lastModifiedBy>
  <dcterms:modified xsi:type="dcterms:W3CDTF">2023-12-07T08:34:13Z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63372180E391462297542DC2C28CBB01_11</vt:lpwstr>
  </property>
</Properties>
</file>